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ind w:hanging="2"/>
        <w:jc w:val="center"/>
        <w:rPr>
          <w:rFonts w:ascii="Arial" w:cs="Arial" w:eastAsia="Arial" w:hAnsi="Arial"/>
          <w:sz w:val="22"/>
          <w:szCs w:val="22"/>
        </w:rPr>
      </w:pPr>
      <w:r w:rsidDel="00000000" w:rsidR="00000000" w:rsidRPr="00000000">
        <w:rPr>
          <w:rFonts w:ascii="Arial" w:cs="Arial" w:eastAsia="Arial" w:hAnsi="Arial"/>
          <w:sz w:val="22"/>
          <w:szCs w:val="22"/>
        </w:rPr>
        <w:drawing>
          <wp:anchor allowOverlap="1" behindDoc="0" distB="114300" distT="114300" distL="114300" distR="114300" hidden="0" layoutInCell="1" locked="0" relativeHeight="0" simplePos="0">
            <wp:simplePos x="0" y="0"/>
            <wp:positionH relativeFrom="page">
              <wp:posOffset>2643188</wp:posOffset>
            </wp:positionH>
            <wp:positionV relativeFrom="page">
              <wp:posOffset>257175</wp:posOffset>
            </wp:positionV>
            <wp:extent cx="2481263" cy="789493"/>
            <wp:effectExtent b="0" l="0" r="0" t="0"/>
            <wp:wrapNone/>
            <wp:docPr id="1" name="image1.jpg"/>
            <a:graphic>
              <a:graphicData uri="http://schemas.openxmlformats.org/drawingml/2006/picture">
                <pic:pic>
                  <pic:nvPicPr>
                    <pic:cNvPr id="0" name="image1.jpg"/>
                    <pic:cNvPicPr preferRelativeResize="0"/>
                  </pic:nvPicPr>
                  <pic:blipFill>
                    <a:blip r:embed="rId8"/>
                    <a:srcRect b="0" l="0" r="0" t="0"/>
                    <a:stretch>
                      <a:fillRect/>
                    </a:stretch>
                  </pic:blipFill>
                  <pic:spPr>
                    <a:xfrm>
                      <a:off x="0" y="0"/>
                      <a:ext cx="2481263" cy="789493"/>
                    </a:xfrm>
                    <a:prstGeom prst="rect"/>
                    <a:ln/>
                  </pic:spPr>
                </pic:pic>
              </a:graphicData>
            </a:graphic>
          </wp:anchor>
        </w:drawing>
      </w:r>
      <w:r w:rsidDel="00000000" w:rsidR="00000000" w:rsidRPr="00000000">
        <w:rPr>
          <w:rtl w:val="0"/>
        </w:rPr>
      </w:r>
    </w:p>
    <w:p w:rsidR="00000000" w:rsidDel="00000000" w:rsidP="00000000" w:rsidRDefault="00000000" w:rsidRPr="00000000" w14:paraId="00000002">
      <w:pPr>
        <w:ind w:hanging="2"/>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Nodibinājums</w:t>
      </w:r>
    </w:p>
    <w:p w:rsidR="00000000" w:rsidDel="00000000" w:rsidP="00000000" w:rsidRDefault="00000000" w:rsidRPr="00000000" w14:paraId="00000003">
      <w:pPr>
        <w:ind w:hanging="2"/>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Nodibinājums Liepāja 2027</w:t>
      </w:r>
      <w:r w:rsidDel="00000000" w:rsidR="00000000" w:rsidRPr="00000000">
        <w:rPr>
          <w:rtl w:val="0"/>
        </w:rPr>
      </w:r>
    </w:p>
    <w:p w:rsidR="00000000" w:rsidDel="00000000" w:rsidP="00000000" w:rsidRDefault="00000000" w:rsidRPr="00000000" w14:paraId="00000004">
      <w:pPr>
        <w:jc w:val="right"/>
        <w:rPr>
          <w:rFonts w:ascii="Arial" w:cs="Arial" w:eastAsia="Arial" w:hAnsi="Arial"/>
          <w:sz w:val="22"/>
          <w:szCs w:val="22"/>
        </w:rPr>
      </w:pPr>
      <w:r w:rsidDel="00000000" w:rsidR="00000000" w:rsidRPr="00000000">
        <w:rPr>
          <w:rFonts w:ascii="Arial" w:cs="Arial" w:eastAsia="Arial" w:hAnsi="Arial"/>
          <w:sz w:val="16"/>
          <w:szCs w:val="16"/>
          <w:rtl w:val="0"/>
        </w:rPr>
        <w:t xml:space="preserve">Rožu iela 6, Liepāja, LV-3401, reģ.nr. 40008325039, tālr. +371 20 272 277, birojs@liepaja2027.lv, www.liepaja2027.lv</w:t>
      </w:r>
      <w:r w:rsidDel="00000000" w:rsidR="00000000" w:rsidRPr="00000000">
        <w:rPr>
          <w:rtl w:val="0"/>
        </w:rPr>
      </w:r>
    </w:p>
    <w:p w:rsidR="00000000" w:rsidDel="00000000" w:rsidP="00000000" w:rsidRDefault="00000000" w:rsidRPr="00000000" w14:paraId="00000005">
      <w:pPr>
        <w:spacing w:after="160" w:before="120" w:lineRule="auto"/>
        <w:ind w:hanging="2"/>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Liepājā</w:t>
      </w:r>
    </w:p>
    <w:p w:rsidR="00000000" w:rsidDel="00000000" w:rsidP="00000000" w:rsidRDefault="00000000" w:rsidRPr="00000000" w14:paraId="00000006">
      <w:pPr>
        <w:spacing w:after="160" w:before="120" w:lineRule="auto"/>
        <w:ind w:hanging="2"/>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7">
      <w:pPr>
        <w:jc w:val="left"/>
        <w:rPr>
          <w:rFonts w:ascii="Arial" w:cs="Arial" w:eastAsia="Arial" w:hAnsi="Arial"/>
          <w:sz w:val="22"/>
          <w:szCs w:val="22"/>
          <w:highlight w:val="white"/>
        </w:rPr>
      </w:pPr>
      <w:r w:rsidDel="00000000" w:rsidR="00000000" w:rsidRPr="00000000">
        <w:rPr>
          <w:rFonts w:ascii="Arial" w:cs="Arial" w:eastAsia="Arial" w:hAnsi="Arial"/>
          <w:sz w:val="22"/>
          <w:szCs w:val="22"/>
          <w:rtl w:val="0"/>
        </w:rPr>
        <w:t xml:space="preserve">2025. gada </w:t>
      </w:r>
      <w:r w:rsidDel="00000000" w:rsidR="00000000" w:rsidRPr="00000000">
        <w:rPr>
          <w:rFonts w:ascii="Arial" w:cs="Arial" w:eastAsia="Arial" w:hAnsi="Arial"/>
          <w:sz w:val="22"/>
          <w:szCs w:val="22"/>
          <w:rtl w:val="0"/>
        </w:rPr>
        <w:t xml:space="preserve">01.</w:t>
      </w:r>
      <w:r w:rsidDel="00000000" w:rsidR="00000000" w:rsidRPr="00000000">
        <w:rPr>
          <w:rFonts w:ascii="Arial" w:cs="Arial" w:eastAsia="Arial" w:hAnsi="Arial"/>
          <w:sz w:val="22"/>
          <w:szCs w:val="22"/>
          <w:rtl w:val="0"/>
        </w:rPr>
        <w:t xml:space="preserve"> jūnijā</w:t>
      </w:r>
      <w:r w:rsidDel="00000000" w:rsidR="00000000" w:rsidRPr="00000000">
        <w:rPr>
          <w:rFonts w:ascii="Arial" w:cs="Arial" w:eastAsia="Arial" w:hAnsi="Arial"/>
          <w:b w:val="1"/>
          <w:sz w:val="22"/>
          <w:szCs w:val="22"/>
          <w:highlight w:val="white"/>
          <w:rtl w:val="0"/>
        </w:rPr>
        <w:tab/>
        <w:tab/>
        <w:t xml:space="preserve">                                          </w:t>
        <w:tab/>
        <w:tab/>
        <w:tab/>
        <w:t xml:space="preserve">     NOLIKUMS NR. 2</w:t>
      </w:r>
      <w:r w:rsidDel="00000000" w:rsidR="00000000" w:rsidRPr="00000000">
        <w:rPr>
          <w:rtl w:val="0"/>
        </w:rPr>
      </w:r>
    </w:p>
    <w:p w:rsidR="00000000" w:rsidDel="00000000" w:rsidP="00000000" w:rsidRDefault="00000000" w:rsidRPr="00000000" w14:paraId="00000008">
      <w:pPr>
        <w:jc w:val="right"/>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Apstiprināti nodibinājums </w:t>
        <w:br w:type="textWrapping"/>
        <w:t xml:space="preserve">“Nodibinājums Liepāja 2027” </w:t>
      </w:r>
    </w:p>
    <w:p w:rsidR="00000000" w:rsidDel="00000000" w:rsidP="00000000" w:rsidRDefault="00000000" w:rsidRPr="00000000" w14:paraId="00000009">
      <w:pPr>
        <w:jc w:val="right"/>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2025.gada 01. jūnija valdes sēdē</w:t>
      </w:r>
    </w:p>
    <w:p w:rsidR="00000000" w:rsidDel="00000000" w:rsidP="00000000" w:rsidRDefault="00000000" w:rsidRPr="00000000" w14:paraId="0000000A">
      <w:pPr>
        <w:spacing w:line="360" w:lineRule="auto"/>
        <w:jc w:val="right"/>
        <w:rPr>
          <w:rFonts w:ascii="Arial" w:cs="Arial" w:eastAsia="Arial" w:hAnsi="Arial"/>
          <w:sz w:val="22"/>
          <w:szCs w:val="22"/>
        </w:rPr>
      </w:pPr>
      <w:r w:rsidDel="00000000" w:rsidR="00000000" w:rsidRPr="00000000">
        <w:rPr>
          <w:rFonts w:ascii="Arial" w:cs="Arial" w:eastAsia="Arial" w:hAnsi="Arial"/>
          <w:sz w:val="22"/>
          <w:szCs w:val="22"/>
          <w:rtl w:val="0"/>
        </w:rPr>
        <w:t xml:space="preserve">(protokols Nr. 1.3/22)</w:t>
      </w:r>
      <w:r w:rsidDel="00000000" w:rsidR="00000000" w:rsidRPr="00000000">
        <w:rPr>
          <w:rtl w:val="0"/>
        </w:rPr>
      </w:r>
    </w:p>
    <w:p w:rsidR="00000000" w:rsidDel="00000000" w:rsidP="00000000" w:rsidRDefault="00000000" w:rsidRPr="00000000" w14:paraId="0000000B">
      <w:pPr>
        <w:spacing w:line="360" w:lineRule="auto"/>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C">
      <w:pPr>
        <w:spacing w:line="36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LIEPĀJA 2027 STARPTAUTISKO KULTŪRAS PROJEKTU </w:t>
        <w:br w:type="textWrapping"/>
        <w:t xml:space="preserve">LĪDZFINANSĒJUMA KONKURSA NOLIKUMS</w:t>
      </w:r>
    </w:p>
    <w:p w:rsidR="00000000" w:rsidDel="00000000" w:rsidP="00000000" w:rsidRDefault="00000000" w:rsidRPr="00000000" w14:paraId="0000000D">
      <w:pPr>
        <w:spacing w:line="360"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E">
      <w:pPr>
        <w:spacing w:line="360" w:lineRule="auto"/>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I. Vispārīgie jautājumi</w:t>
      </w:r>
      <w:r w:rsidDel="00000000" w:rsidR="00000000" w:rsidRPr="00000000">
        <w:rPr>
          <w:rtl w:val="0"/>
        </w:rPr>
      </w:r>
    </w:p>
    <w:p w:rsidR="00000000" w:rsidDel="00000000" w:rsidP="00000000" w:rsidRDefault="00000000" w:rsidRPr="00000000" w14:paraId="0000000F">
      <w:pPr>
        <w:spacing w:line="360" w:lineRule="auto"/>
        <w:ind w:left="270" w:hanging="270"/>
        <w:jc w:val="both"/>
        <w:rPr>
          <w:rFonts w:ascii="Arial" w:cs="Arial" w:eastAsia="Arial" w:hAnsi="Arial"/>
          <w:b w:val="1"/>
          <w:sz w:val="22"/>
          <w:szCs w:val="22"/>
        </w:rPr>
      </w:pPr>
      <w:r w:rsidDel="00000000" w:rsidR="00000000" w:rsidRPr="00000000">
        <w:rPr>
          <w:rFonts w:ascii="Arial" w:cs="Arial" w:eastAsia="Arial" w:hAnsi="Arial"/>
          <w:sz w:val="22"/>
          <w:szCs w:val="22"/>
          <w:rtl w:val="0"/>
        </w:rPr>
        <w:t xml:space="preserve">1. Nolikums nosaka kārtību, kādā Nodibinājums “Nodibinājums Liepāja 2027”,</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reģ.nr.40008325039, Rožu iela 6, Liepāja (turpmāk – Nodibinājums) konkursa kārtībā piešķir naudas līdzekļus (turpmāk – līdzfinansējums) starptautisku kultūras un mākslas pasākumu īstenošanai “Liepāja 2027 - Eiropas kultūras galvaspilsēta” projektu kopumos Liepājas valstspilsētas, Dienvidkurzemes un Kuldīgas novadu administratīvajās teritorijās, ar iespējamiem ievadpasākumiem visā Latvijas teritorijā (turpmāk – Pasākums).</w:t>
      </w:r>
      <w:r w:rsidDel="00000000" w:rsidR="00000000" w:rsidRPr="00000000">
        <w:rPr>
          <w:rtl w:val="0"/>
        </w:rPr>
      </w:r>
    </w:p>
    <w:p w:rsidR="00000000" w:rsidDel="00000000" w:rsidP="00000000" w:rsidRDefault="00000000" w:rsidRPr="00000000" w14:paraId="00000010">
      <w:pPr>
        <w:spacing w:line="360" w:lineRule="auto"/>
        <w:ind w:left="270" w:hanging="27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2. Konkursa mērķis ir papildināt “Liepāja 2027 - Eiropas kultūras galvaspilsēta” programmu ar starptautiski izciliem un inovatīviem laikmetīgās mākslas starpdisciplināriem dažādu žanru notikumiem. Šī mērķa īstenošanai tiek līdzfinansēti projekti, kas ir inovatīvi saturā, radoši stimulējoši un izaicinoši attiecībā uz jauniem formātiem, veicinot daudzveidīgu kultūras piedāvājumu, un atbilst vadlīnijām, kas ir Nolikuma 2.pielikumā. Tiks atbalstīti Pasākumi, kuros tiek īstenota starptautiska sadarbība un piesaistīta starptautiska auditorija, ievērojot ekodizaina vadlīnijas</w:t>
      </w:r>
      <w:r w:rsidDel="00000000" w:rsidR="00000000" w:rsidRPr="00000000">
        <w:rPr>
          <w:rFonts w:ascii="Arial" w:cs="Arial" w:eastAsia="Arial" w:hAnsi="Arial"/>
          <w:sz w:val="22"/>
          <w:szCs w:val="22"/>
          <w:vertAlign w:val="superscript"/>
        </w:rPr>
        <w:footnoteReference w:customMarkFollows="0" w:id="0"/>
      </w:r>
      <w:r w:rsidDel="00000000" w:rsidR="00000000" w:rsidRPr="00000000">
        <w:rPr>
          <w:rFonts w:ascii="Arial" w:cs="Arial" w:eastAsia="Arial" w:hAnsi="Arial"/>
          <w:sz w:val="22"/>
          <w:szCs w:val="22"/>
          <w:rtl w:val="0"/>
        </w:rPr>
        <w:t xml:space="preserve">, pielietojot videi draudzīgas kultūras pārvaldības prakses</w:t>
      </w:r>
      <w:r w:rsidDel="00000000" w:rsidR="00000000" w:rsidRPr="00000000">
        <w:rPr>
          <w:rFonts w:ascii="Arial" w:cs="Arial" w:eastAsia="Arial" w:hAnsi="Arial"/>
          <w:sz w:val="22"/>
          <w:szCs w:val="22"/>
          <w:vertAlign w:val="superscript"/>
        </w:rPr>
        <w:footnoteReference w:customMarkFollows="0" w:id="1"/>
      </w:r>
      <w:r w:rsidDel="00000000" w:rsidR="00000000" w:rsidRPr="00000000">
        <w:rPr>
          <w:rFonts w:ascii="Arial" w:cs="Arial" w:eastAsia="Arial" w:hAnsi="Arial"/>
          <w:sz w:val="22"/>
          <w:szCs w:val="22"/>
          <w:rtl w:val="0"/>
        </w:rPr>
        <w:t xml:space="preserve">, nodrošinot piekļūstamību un pieejamību dažādām auditorijām, atbilstību Eiropas Savienības pamatvērtībām. Kopējais pieejamais līdzfinansējuma apmērs visām programmām šī konkursa ietvaros ir 640 000 EUR. </w:t>
      </w:r>
    </w:p>
    <w:p w:rsidR="00000000" w:rsidDel="00000000" w:rsidP="00000000" w:rsidRDefault="00000000" w:rsidRPr="00000000" w14:paraId="00000011">
      <w:pPr>
        <w:spacing w:line="360" w:lineRule="auto"/>
        <w:ind w:left="270" w:hanging="27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3. Uz līdzfinansējumu ir tiesīgas pretendēt Eiropas Ekonomiskās zonas dalībvalstīs reģistrētas juridiskās personas, tajā skaitā privāto vai publisko tiesību juridiskās personas, vai saimnieciskās darbības veicēji (turpmāk – pretendents). Pretendents ir tiesīgs iesniegt pieteikumus par vairākiem Pasākumiem, un to skaits nav ierobežots.</w:t>
      </w:r>
    </w:p>
    <w:p w:rsidR="00000000" w:rsidDel="00000000" w:rsidP="00000000" w:rsidRDefault="00000000" w:rsidRPr="00000000" w14:paraId="00000012">
      <w:pPr>
        <w:spacing w:line="360" w:lineRule="auto"/>
        <w:ind w:left="270" w:hanging="27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4. Pieteikumu iesniegšanas termiņš ir </w:t>
      </w:r>
      <w:r w:rsidDel="00000000" w:rsidR="00000000" w:rsidRPr="00000000">
        <w:rPr>
          <w:rFonts w:ascii="Arial" w:cs="Arial" w:eastAsia="Arial" w:hAnsi="Arial"/>
          <w:b w:val="1"/>
          <w:sz w:val="22"/>
          <w:szCs w:val="22"/>
          <w:rtl w:val="0"/>
        </w:rPr>
        <w:t xml:space="preserve">2025. gada 10.septembra plkst. 10:00.</w:t>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13">
      <w:pPr>
        <w:spacing w:line="360" w:lineRule="auto"/>
        <w:ind w:left="270" w:hanging="27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5. Līdzfinansējums nav kvalificējams kā komercdarbības atbalsts Komercdarbības atbalsta kontroles likuma izpratnē. Pasākumam ir jābūt pieejamam bez maksas vai ieņēmumi no Pasākuma pakalpojumiem (dalības maksa, biļešu tirdzniecība u.tml.) nedrīkst segt vairāk kā 50 % no Pasākuma faktiskajām izmaksām. </w:t>
      </w:r>
    </w:p>
    <w:p w:rsidR="00000000" w:rsidDel="00000000" w:rsidP="00000000" w:rsidRDefault="00000000" w:rsidRPr="00000000" w14:paraId="00000014">
      <w:pPr>
        <w:spacing w:line="360" w:lineRule="auto"/>
        <w:ind w:left="270" w:hanging="27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6. Konkursu organizē un Nolikuma izpildi nodrošina Nodibinājums. </w:t>
      </w:r>
    </w:p>
    <w:p w:rsidR="00000000" w:rsidDel="00000000" w:rsidP="00000000" w:rsidRDefault="00000000" w:rsidRPr="00000000" w14:paraId="00000015">
      <w:pPr>
        <w:spacing w:line="360" w:lineRule="auto"/>
        <w:ind w:left="270" w:hanging="27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7. Paziņojums par Konkursa izsludināšanu (turpmāk – Paziņojums) un rezultātiem tiek publicēts tīmekļvietnē </w:t>
      </w:r>
      <w:hyperlink r:id="rId9">
        <w:r w:rsidDel="00000000" w:rsidR="00000000" w:rsidRPr="00000000">
          <w:rPr>
            <w:rFonts w:ascii="Arial" w:cs="Arial" w:eastAsia="Arial" w:hAnsi="Arial"/>
            <w:color w:val="000000"/>
            <w:sz w:val="22"/>
            <w:szCs w:val="22"/>
            <w:u w:val="none"/>
            <w:rtl w:val="0"/>
          </w:rPr>
          <w:t xml:space="preserve">www.liepaja2027.lv</w:t>
        </w:r>
      </w:hyperlink>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16">
      <w:pPr>
        <w:spacing w:line="360" w:lineRule="auto"/>
        <w:jc w:val="both"/>
        <w:rPr>
          <w:rFonts w:ascii="Arial" w:cs="Arial" w:eastAsia="Arial" w:hAnsi="Arial"/>
          <w:sz w:val="22"/>
          <w:szCs w:val="22"/>
          <w:highlight w:val="yellow"/>
        </w:rPr>
      </w:pPr>
      <w:r w:rsidDel="00000000" w:rsidR="00000000" w:rsidRPr="00000000">
        <w:rPr>
          <w:rtl w:val="0"/>
        </w:rPr>
      </w:r>
    </w:p>
    <w:p w:rsidR="00000000" w:rsidDel="00000000" w:rsidP="00000000" w:rsidRDefault="00000000" w:rsidRPr="00000000" w14:paraId="00000017">
      <w:pPr>
        <w:spacing w:line="36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II. Līdzfinansējuma piešķiršanas nosacījumi un veidi</w:t>
      </w:r>
    </w:p>
    <w:p w:rsidR="00000000" w:rsidDel="00000000" w:rsidP="00000000" w:rsidRDefault="00000000" w:rsidRPr="00000000" w14:paraId="00000018">
      <w:pPr>
        <w:spacing w:line="360" w:lineRule="auto"/>
        <w:ind w:left="36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8. Pretendentu izslēgšanas nosacījumi ir sekojoši:</w:t>
      </w:r>
    </w:p>
    <w:p w:rsidR="00000000" w:rsidDel="00000000" w:rsidP="00000000" w:rsidRDefault="00000000" w:rsidRPr="00000000" w14:paraId="00000019">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8.1. Pretendentam uz pieteikuma iesniegšanas un finansēšanas līguma slēgšanas brīdi nav nodokļu un citu valsts vai pašvaldību noteikto obligāto maksājumu parāda, kas pārsniedz 150 </w:t>
      </w:r>
      <w:r w:rsidDel="00000000" w:rsidR="00000000" w:rsidRPr="00000000">
        <w:rPr>
          <w:rFonts w:ascii="Arial" w:cs="Arial" w:eastAsia="Arial" w:hAnsi="Arial"/>
          <w:i w:val="1"/>
          <w:sz w:val="22"/>
          <w:szCs w:val="22"/>
          <w:rtl w:val="0"/>
        </w:rPr>
        <w:t xml:space="preserve">euro</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1A">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8.2. Pretendents, kas ir juridiska persona, ir reģistrēts kādā no Eiropas Ekonomiskās zonas dalībvalstīm ne vēlāk kā 36 mēnešus pirms pieteikuma iesniegšanas dienas un savas darbības laikā īstenojis līdzīga apjoma un sarežģītības projektus.</w:t>
      </w:r>
    </w:p>
    <w:p w:rsidR="00000000" w:rsidDel="00000000" w:rsidP="00000000" w:rsidRDefault="00000000" w:rsidRPr="00000000" w14:paraId="0000001B">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8.3. Pretendentam nav pasludināts maksātnespējas process, netiek īstenots tiesiskās aizsardzības process, netiek īstenots ārpustiesas tiesiskās aizsardzības process, nav uzsākta bankrota procedūra, nav piemērota sanācija vai mierizlīgums, tas netiek apsūdzēts naudas atmazgāšanā un sankciju pārkāpšanas regulējuma neievērošanā, tā saimnieciskā darbība nav izbeigta vai apturēta un/vai tas neatbilst valsts tiesību aktos noteiktajiem kritērijiem, lai tam pēc kreditoru pieprasījuma piemērotu maksātnespējas procedūru, Nodibinājums nav pieņēmis lēmumu atturēties no darījuma attiecību nodibināšanas ar Pretendentu saistībā ar aizdomām par Pretendenta vai tā patiesā labuma guvēju saistību (sadarbību) ar sankciju režīmam pakļautu jurisdikciju vai citiem konstatētiem apstākļiem, kas saistīti ar sankcijām, noziedzīgi iegūtiem līdzekļiem, naudas “atmazgāšanu”, terorisma vai proliferācijas finansēšanu, korupciju, reputāciju, kuras dēļ pastāv risks zaudēt sabiedrības uzticību;</w:t>
      </w:r>
    </w:p>
    <w:p w:rsidR="00000000" w:rsidDel="00000000" w:rsidP="00000000" w:rsidRDefault="00000000" w:rsidRPr="00000000" w14:paraId="0000001C">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8.4. Pretendenta pieteikums ir sagatavots un iesniegts Paziņojumā par konkursa izsludināšanu norādītajā termiņā un noformēts atbilstoši Nolikumā noteiktajai kārtībai.</w:t>
      </w:r>
    </w:p>
    <w:p w:rsidR="00000000" w:rsidDel="00000000" w:rsidP="00000000" w:rsidRDefault="00000000" w:rsidRPr="00000000" w14:paraId="0000001D">
      <w:pPr>
        <w:spacing w:line="360" w:lineRule="auto"/>
        <w:ind w:left="36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8.5. Pasākums ir pieejams bez maksas vai ieņēmumi no Pasākuma pakalpojumiem (dalības maksas, biļešu tirdzniecības u.c.) sedz mazāk kā 50 % no Pasākuma faktiskajām izmaksām.</w:t>
      </w:r>
    </w:p>
    <w:p w:rsidR="00000000" w:rsidDel="00000000" w:rsidP="00000000" w:rsidRDefault="00000000" w:rsidRPr="00000000" w14:paraId="0000001E">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8.6. Pasākuma sagatavošana tiks uzsākta 2026.gadā un Pasākums galvenokārt norisināsies (būs pieejams publikai) 2027.gadā. Nodibinājums patur tiesības kopējās programmas kontekstā precizēt un mainīt atbalstītā Pasākuma norises vietu un laiku.</w:t>
      </w:r>
    </w:p>
    <w:p w:rsidR="00000000" w:rsidDel="00000000" w:rsidP="00000000" w:rsidRDefault="00000000" w:rsidRPr="00000000" w14:paraId="0000001F">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9. Ja Komisija, izskatot pretendenta pieteikumu, konstatē, ka pretendents neatbilst vai nav izpildījis izslēgšanas nosacījumu prasības, Komisija pieņem lēmumu par pieteikuma atstāšanu bez izskatīšanas.</w:t>
      </w:r>
    </w:p>
    <w:p w:rsidR="00000000" w:rsidDel="00000000" w:rsidP="00000000" w:rsidRDefault="00000000" w:rsidRPr="00000000" w14:paraId="00000020">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10. Izskatot pieteikumu pēc būtības, Komisija pieņem lēmumu par līdzfinansējuma piešķiršanu un tā apmēru vai atteikumu piešķirt līdzfinansējumu, norādot pamatojumu.</w:t>
      </w:r>
    </w:p>
    <w:p w:rsidR="00000000" w:rsidDel="00000000" w:rsidP="00000000" w:rsidRDefault="00000000" w:rsidRPr="00000000" w14:paraId="00000021">
      <w:pPr>
        <w:spacing w:line="360" w:lineRule="auto"/>
        <w:ind w:left="36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11. Konkursā pieteikumi var tikt iesniegti šādām programmām un līdzfinansējuma apmēriem:</w:t>
      </w:r>
    </w:p>
    <w:p w:rsidR="00000000" w:rsidDel="00000000" w:rsidP="00000000" w:rsidRDefault="00000000" w:rsidRPr="00000000" w14:paraId="00000022">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11.1. Starpdisciplināra laikmetīgās mākslas programma “Mainīgie apvāršņi” pieteikums līdzfinansējumam līdz 50 000 EUR vai pieteikums līdzfinansējumam līdz 100 000 EUR. Pretendents var pieteikties tam projektu veidam, kas vislabāk atbilst viņa ieceres mērogam un vajadzībām; </w:t>
      </w:r>
    </w:p>
    <w:p w:rsidR="00000000" w:rsidDel="00000000" w:rsidP="00000000" w:rsidRDefault="00000000" w:rsidRPr="00000000" w14:paraId="00000023">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11.2. Fotogrāfijas notikumu cikls “Attēlu pasaule” pieteikums līdzfinansējumam līdz 25 000 EUR vai pieteikums līdzfinansējumam līdz 50 000 EUR. Pretendents var pieteikties tam projektu veidam, kas vislabāk atbilst viņa ieceres mērogam un vajadzībām;</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11.3. Līdziesaistes skatuves mākslas programma “Karosta Radosta” pieteikums līdzfinansējumam līdz 50 000 EUR vai pieteikums līdzfinansējumam līdz </w:t>
      </w:r>
      <w:r w:rsidDel="00000000" w:rsidR="00000000" w:rsidRPr="00000000">
        <w:rPr>
          <w:rFonts w:ascii="Arial" w:cs="Arial" w:eastAsia="Arial" w:hAnsi="Arial"/>
          <w:sz w:val="22"/>
          <w:szCs w:val="22"/>
          <w:rtl w:val="0"/>
        </w:rPr>
        <w:t xml:space="preserve">2</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00 000 EUR. Pretendents var pieteikties tam projektu veidam, kas vislabāk atbilst viņa ieceres mērogam un vajadzībām;</w:t>
      </w:r>
    </w:p>
    <w:p w:rsidR="00000000" w:rsidDel="00000000" w:rsidP="00000000" w:rsidRDefault="00000000" w:rsidRPr="00000000" w14:paraId="0000002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Literatūras un mutvārdu kultūras programma “Bibliotēkas gars“ pieteikums līdzfinansējumam līdz 50 000 EUR;</w:t>
      </w:r>
    </w:p>
    <w:p w:rsidR="00000000" w:rsidDel="00000000" w:rsidP="00000000" w:rsidRDefault="00000000" w:rsidRPr="00000000" w14:paraId="00000026">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11.5. Vides instalācijas vai digitāla pieredze vides izziņas programmā “Piedzīvojumu sala”</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pieteikums līdzfinansējumam līdz 70 000 EUR ;</w:t>
      </w:r>
    </w:p>
    <w:p w:rsidR="00000000" w:rsidDel="00000000" w:rsidP="00000000" w:rsidRDefault="00000000" w:rsidRPr="00000000" w14:paraId="00000027">
      <w:pPr>
        <w:spacing w:line="360" w:lineRule="auto"/>
        <w:ind w:left="360" w:hanging="360"/>
        <w:jc w:val="both"/>
        <w:rPr>
          <w:rFonts w:ascii="Arial" w:cs="Arial" w:eastAsia="Arial" w:hAnsi="Arial"/>
          <w:b w:val="1"/>
          <w:sz w:val="22"/>
          <w:szCs w:val="22"/>
        </w:rPr>
      </w:pPr>
      <w:r w:rsidDel="00000000" w:rsidR="00000000" w:rsidRPr="00000000">
        <w:rPr>
          <w:rFonts w:ascii="Arial" w:cs="Arial" w:eastAsia="Arial" w:hAnsi="Arial"/>
          <w:sz w:val="22"/>
          <w:szCs w:val="22"/>
          <w:rtl w:val="0"/>
        </w:rPr>
        <w:t xml:space="preserve">11.6. Vizuālā teātra attīstības programma “Atvērtais teātra kvartāls” pieteikums līdzfinansējumam līdz 50 000 EUR; </w:t>
      </w: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11.7. Pasaules filmu programma “Kino sapnis” pieteikums līdzfinansējumam līdz 30 000 EUR;</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11.8. Elektroniskās deju mūzikas notikums programmā “Ardievas smagajam metālam” pieteikums līdzfinansējumam līdz 30 000 EUR.</w:t>
      </w:r>
    </w:p>
    <w:p w:rsidR="00000000" w:rsidDel="00000000" w:rsidP="00000000" w:rsidRDefault="00000000" w:rsidRPr="00000000" w14:paraId="0000002A">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12. Vienam Pasākumam var piešķirt līdzfinansējumu līdz atbilstoši konkrētajā programmā norādītajam maksimālajam atbalsta apmēram, nepārsniedzot 90 % no Pasākuma kopējās tāmes.</w:t>
      </w:r>
    </w:p>
    <w:p w:rsidR="00000000" w:rsidDel="00000000" w:rsidP="00000000" w:rsidRDefault="00000000" w:rsidRPr="00000000" w14:paraId="0000002B">
      <w:pPr>
        <w:spacing w:line="360" w:lineRule="auto"/>
        <w:ind w:left="36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13. Ar līdzfinansējumu atbalstāmās izmaksas:</w:t>
      </w:r>
    </w:p>
    <w:p w:rsidR="00000000" w:rsidDel="00000000" w:rsidP="00000000" w:rsidRDefault="00000000" w:rsidRPr="00000000" w14:paraId="0000002C">
      <w:pPr>
        <w:spacing w:line="360" w:lineRule="auto"/>
        <w:ind w:left="36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13.1. atlīdzība mākslinieciskajam, tehniskajam un administratīvajam personālam;</w:t>
      </w:r>
    </w:p>
    <w:p w:rsidR="00000000" w:rsidDel="00000000" w:rsidP="00000000" w:rsidRDefault="00000000" w:rsidRPr="00000000" w14:paraId="0000002D">
      <w:pPr>
        <w:spacing w:line="360" w:lineRule="auto"/>
        <w:ind w:left="36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13.2. producēšanas un projekta vadības izdevumi;</w:t>
      </w:r>
    </w:p>
    <w:p w:rsidR="00000000" w:rsidDel="00000000" w:rsidP="00000000" w:rsidRDefault="00000000" w:rsidRPr="00000000" w14:paraId="0000002E">
      <w:pPr>
        <w:spacing w:line="360" w:lineRule="auto"/>
        <w:ind w:left="36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13.3. Pasākuma vietas izmaksas (noma, apskaņošana, gaismošana, apkalpojošais personāls u. tml.);</w:t>
      </w:r>
    </w:p>
    <w:p w:rsidR="00000000" w:rsidDel="00000000" w:rsidP="00000000" w:rsidRDefault="00000000" w:rsidRPr="00000000" w14:paraId="0000002F">
      <w:pPr>
        <w:spacing w:line="360" w:lineRule="auto"/>
        <w:ind w:left="36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13.4. Pasākuma īstenošanai nepieciešamo materiālu iegāde un aprīkojuma noma;</w:t>
      </w:r>
    </w:p>
    <w:p w:rsidR="00000000" w:rsidDel="00000000" w:rsidP="00000000" w:rsidRDefault="00000000" w:rsidRPr="00000000" w14:paraId="00000030">
      <w:pPr>
        <w:spacing w:line="360" w:lineRule="auto"/>
        <w:ind w:left="36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13.5. ceļa un uzturēšanās izdevumi Pasākumā iesaistītajiem māksliniekiem un tehniskajam personālam;</w:t>
      </w:r>
    </w:p>
    <w:p w:rsidR="00000000" w:rsidDel="00000000" w:rsidP="00000000" w:rsidRDefault="00000000" w:rsidRPr="00000000" w14:paraId="00000031">
      <w:pPr>
        <w:spacing w:line="360" w:lineRule="auto"/>
        <w:ind w:left="36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13.6. mārketinga un komunikācijas aktivitāšu izmaksas.</w:t>
      </w:r>
    </w:p>
    <w:p w:rsidR="00000000" w:rsidDel="00000000" w:rsidP="00000000" w:rsidRDefault="00000000" w:rsidRPr="00000000" w14:paraId="00000032">
      <w:pPr>
        <w:spacing w:line="360" w:lineRule="auto"/>
        <w:ind w:left="36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14. Līdzfinansējumu nepiešķir šādām izmaksām:</w:t>
      </w:r>
    </w:p>
    <w:p w:rsidR="00000000" w:rsidDel="00000000" w:rsidP="00000000" w:rsidRDefault="00000000" w:rsidRPr="00000000" w14:paraId="00000033">
      <w:pPr>
        <w:spacing w:line="360" w:lineRule="auto"/>
        <w:ind w:left="36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14.1. ēdināšanai un kafijas pauzēm;</w:t>
      </w:r>
    </w:p>
    <w:p w:rsidR="00000000" w:rsidDel="00000000" w:rsidP="00000000" w:rsidRDefault="00000000" w:rsidRPr="00000000" w14:paraId="00000034">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14.2. pretendenta vai Projektā iesaistīto partneru un trešo personu organizācijas pamatdarbības nodrošināšanai, pamatlīdzekļu, tehniskā aprīkojuma iegādei, telpu remontam un materiāltehniskās bāzes uzlabošanai, kā arī Projektā iesaistīto partneru un trešo personu organizāciju administratīvās pamatdarbības nodrošinājumam;</w:t>
      </w:r>
    </w:p>
    <w:p w:rsidR="00000000" w:rsidDel="00000000" w:rsidP="00000000" w:rsidRDefault="00000000" w:rsidRPr="00000000" w14:paraId="00000035">
      <w:pPr>
        <w:spacing w:line="360" w:lineRule="auto"/>
        <w:ind w:left="36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14.3. pabalstiem, prēmijām, naudas balvām un citiem līdzīgiem maksājumiem;</w:t>
      </w:r>
    </w:p>
    <w:p w:rsidR="00000000" w:rsidDel="00000000" w:rsidP="00000000" w:rsidRDefault="00000000" w:rsidRPr="00000000" w14:paraId="00000036">
      <w:pPr>
        <w:spacing w:line="360" w:lineRule="auto"/>
        <w:ind w:left="36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14.4. procentu maksājumiem, zaudējumu atlīdzībai un parāda dzēšanai.</w:t>
      </w:r>
    </w:p>
    <w:p w:rsidR="00000000" w:rsidDel="00000000" w:rsidP="00000000" w:rsidRDefault="00000000" w:rsidRPr="00000000" w14:paraId="00000037">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15. Līdzfinansējumu piešķir to Pasākumu īstenošanai, kuri vērtēšanas laikā ieguvuši lielāko punktu skaitu. Ja divi vai vairāki pieteikumi vienā un tajā pašā programmā, kas pieteikti vienam un tam pašam līdzfinansējuma veidam, ir saņēmuši vienādu punktu skaitu un Nodibinājuma budžetā šim mērķim paredzētais finansējums ir ierobežots, tad šos pieteikumus sarakstā sarindo pēc lielākā saņemto punktu skaita atbilstoši kritērijiem par Pasākuma māksliniecisko kvalitāti un Starptautisko sadarbību.</w:t>
      </w:r>
    </w:p>
    <w:p w:rsidR="00000000" w:rsidDel="00000000" w:rsidP="00000000" w:rsidRDefault="00000000" w:rsidRPr="00000000" w14:paraId="00000038">
      <w:pPr>
        <w:spacing w:line="36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1440" w:right="0" w:hanging="72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Pieteikuma iesniegšana, izvērtēšanas kārtība un kritēriji</w:t>
      </w:r>
    </w:p>
    <w:p w:rsidR="00000000" w:rsidDel="00000000" w:rsidP="00000000" w:rsidRDefault="00000000" w:rsidRPr="00000000" w14:paraId="0000003A">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16. Pretendents Paziņojumā par konkursu noteiktajā termiņā uz Nodibinājuma elektroniskā pasta adresi </w:t>
      </w:r>
      <w:hyperlink r:id="rId10">
        <w:r w:rsidDel="00000000" w:rsidR="00000000" w:rsidRPr="00000000">
          <w:rPr>
            <w:rFonts w:ascii="Arial" w:cs="Arial" w:eastAsia="Arial" w:hAnsi="Arial"/>
            <w:color w:val="000000"/>
            <w:sz w:val="22"/>
            <w:szCs w:val="22"/>
            <w:u w:val="none"/>
            <w:rtl w:val="0"/>
          </w:rPr>
          <w:t xml:space="preserve">birojs@liepaja2027.lv</w:t>
        </w:r>
      </w:hyperlink>
      <w:r w:rsidDel="00000000" w:rsidR="00000000" w:rsidRPr="00000000">
        <w:rPr>
          <w:rFonts w:ascii="Arial" w:cs="Arial" w:eastAsia="Arial" w:hAnsi="Arial"/>
          <w:sz w:val="22"/>
          <w:szCs w:val="22"/>
          <w:rtl w:val="0"/>
        </w:rPr>
        <w:t xml:space="preserve"> un anna.sile@liepaja2027.lv nosūta pieteikumu, kas sagatavots, izmantojot Nolikuma 1.un 3.pielikumu (turpmāk – Pieteikums), un parakstīts ar drošu elektronisko parakstu vienā EDOC formāta pakotnē. Ja pieteikumu Pretendenta vārdā paraksta pārstāvis, tam pievieno pilnvarojuma dokumentu. Pieteikums sagatavojams latviešu vai angļu valodā. </w:t>
      </w:r>
    </w:p>
    <w:p w:rsidR="00000000" w:rsidDel="00000000" w:rsidP="00000000" w:rsidRDefault="00000000" w:rsidRPr="00000000" w14:paraId="0000003B">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17. Maksimālais punktu skaits, ko katrs Komisijas loceklis var piešķirt vienam pieteikumam, ir 120 punkti. Pieteikuma kopējais vērtējums ir visu Komisijas locekļu piešķirto punktu summa. Pieteikumu vērtē atbilstoši šādiem vērtēšanas kritērijiem:</w:t>
      </w:r>
    </w:p>
    <w:p w:rsidR="00000000" w:rsidDel="00000000" w:rsidP="00000000" w:rsidRDefault="00000000" w:rsidRPr="00000000" w14:paraId="0000003C">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17.1. kritērijā “Pasākuma ieceres kvalitāte” vērtē Pasākuma mērķu un uzdevumu skaidrību un atbilstību plānotajām aktivitātēm, aktivitāšu un termiņu struktūru, sasniedzamo rezultātu formulējumu, plānoto aktivitāšu stratēģiju un tās pamatojumu, piešķirot līdz 15 punktiem:</w:t>
      </w:r>
    </w:p>
    <w:p w:rsidR="00000000" w:rsidDel="00000000" w:rsidP="00000000" w:rsidRDefault="00000000" w:rsidRPr="00000000" w14:paraId="0000003D">
      <w:pPr>
        <w:spacing w:line="360" w:lineRule="auto"/>
        <w:ind w:left="9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15–13 punkti – iecere ir strukturēta, mērķi skaidri, stratēģija detalizēta un loģiski pamatota.</w:t>
      </w:r>
    </w:p>
    <w:p w:rsidR="00000000" w:rsidDel="00000000" w:rsidP="00000000" w:rsidRDefault="00000000" w:rsidRPr="00000000" w14:paraId="0000003E">
      <w:pPr>
        <w:spacing w:line="360" w:lineRule="auto"/>
        <w:ind w:left="9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12–8 punkti – iecere kopumā saprotama, mērķi formulēti, taču stratēģija daļēji vispārīga vai bez konkrēta pamatojuma.</w:t>
      </w:r>
    </w:p>
    <w:p w:rsidR="00000000" w:rsidDel="00000000" w:rsidP="00000000" w:rsidRDefault="00000000" w:rsidRPr="00000000" w14:paraId="0000003F">
      <w:pPr>
        <w:spacing w:line="360" w:lineRule="auto"/>
        <w:ind w:left="9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7–0 punkti – informācija nepilnīga vai pretrunīga, stratēģijas un rezultātu sasaistes nav. </w:t>
      </w:r>
    </w:p>
    <w:p w:rsidR="00000000" w:rsidDel="00000000" w:rsidP="00000000" w:rsidRDefault="00000000" w:rsidRPr="00000000" w14:paraId="00000040">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17.2. kritērijā “Pasākuma mākslinieciskā kvalitāte un aktualitāte” vērtē idejas māksliniecisko vērtību un nozīmīgumu Liepāja 2027 programmas kontekstā, radošās koncepcijas kvalitāti, oriģinalitāti un aktualitāti, autoru ieceri un māksliniecisko vēstījumu, mākslinieku, radošo kolektīvu izvēli, daudzveidīgu izteiksmes līdzekļu izmantojumu, piešķirot līdz 20 punktiem:</w:t>
      </w:r>
    </w:p>
    <w:p w:rsidR="00000000" w:rsidDel="00000000" w:rsidP="00000000" w:rsidRDefault="00000000" w:rsidRPr="00000000" w14:paraId="00000041">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20–17 punkti – augsta mākslinieciskā kvalitāte, ideja oriģināla, nozīmīga, autoru izvēle pamatota, izmantojami dažādi izteiksmes līdzekļi.</w:t>
      </w:r>
    </w:p>
    <w:p w:rsidR="00000000" w:rsidDel="00000000" w:rsidP="00000000" w:rsidRDefault="00000000" w:rsidRPr="00000000" w14:paraId="00000042">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16–10 punkti – mākslinieciskā ideja ir pamatota, taču mazāk oriģināla vai ierobežoti izstrādāta, autoru izvēle nav detalizēta.</w:t>
      </w:r>
    </w:p>
    <w:p w:rsidR="00000000" w:rsidDel="00000000" w:rsidP="00000000" w:rsidRDefault="00000000" w:rsidRPr="00000000" w14:paraId="00000043">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9–0 punkti – ideja vispārīga, bez skaidra mākslinieciskā koncepta, autoru vai radošās komandas izvēle nav pamatota. </w:t>
      </w:r>
    </w:p>
    <w:p w:rsidR="00000000" w:rsidDel="00000000" w:rsidP="00000000" w:rsidRDefault="00000000" w:rsidRPr="00000000" w14:paraId="00000044">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17.3. kritērijā “Pasākuma atbilstība Konkursa vadlīnijām” vērtē Pasākuma atbilstību konkursa mērķim, attiecīgās programmas, uz kuru Pieteikums iesniegts, vadlīnijām (Nolikuma 2.pielikums), Eiropas Savienības pamatvērtībām kā tās definētas līguma par “Eiropas Savienību” 2.pantā (cilvēka cieņu, brīvību, demokrātiju, vienlīdzību, tiesiskumu un cilvēktiesību ievērošanu), piešķirot līdz 15 punktiem:</w:t>
      </w:r>
    </w:p>
    <w:p w:rsidR="00000000" w:rsidDel="00000000" w:rsidP="00000000" w:rsidRDefault="00000000" w:rsidRPr="00000000" w14:paraId="00000045">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15–13 punkti – pilnīga atbilstība konkursa mērķiem, vadlīnijām un ES pamatvērtībām, skaidri formulēts pienesums programmas kopējai vīzijai.</w:t>
      </w:r>
    </w:p>
    <w:p w:rsidR="00000000" w:rsidDel="00000000" w:rsidP="00000000" w:rsidRDefault="00000000" w:rsidRPr="00000000" w14:paraId="00000046">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12–7 punkti – daļēja vai vispārīga atbilstība, vadlīnijas respektētas, taču netiek detalizēti sasaistītas ar projekta ideju.</w:t>
      </w:r>
    </w:p>
    <w:p w:rsidR="00000000" w:rsidDel="00000000" w:rsidP="00000000" w:rsidRDefault="00000000" w:rsidRPr="00000000" w14:paraId="00000047">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6–0 punkti – formāla atbilstība vai tās trūkums, pamatvērtības nav integrētas projektā. </w:t>
      </w:r>
    </w:p>
    <w:p w:rsidR="00000000" w:rsidDel="00000000" w:rsidP="00000000" w:rsidRDefault="00000000" w:rsidRPr="00000000" w14:paraId="00000048">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17.4. kritērijā “Pieejamība plašai mērķauditorijai” vērtē skatītāju vai apmeklētāju potenciālo skaitu attiecībā pret pieprasīto finansējumu, pieejamību dažādām sabiedrības grupām, tostarp cilvēkiem ar invaliditāti, ģimenēm ar bērniem, ilgtspējīgas un videi draudzīgas kultūras pārvaldības prakses ievērošanu, piešķirot līdz 10 punktiem:</w:t>
      </w:r>
    </w:p>
    <w:p w:rsidR="00000000" w:rsidDel="00000000" w:rsidP="00000000" w:rsidRDefault="00000000" w:rsidRPr="00000000" w14:paraId="00000049">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10–8 punkti – projekts orientēts uz plašu auditoriju, skaits samērīgs</w:t>
      </w:r>
      <w:r w:rsidDel="00000000" w:rsidR="00000000" w:rsidRPr="00000000">
        <w:rPr>
          <w:rFonts w:ascii="Arial" w:cs="Arial" w:eastAsia="Arial" w:hAnsi="Arial"/>
          <w:sz w:val="22"/>
          <w:szCs w:val="22"/>
          <w:vertAlign w:val="superscript"/>
        </w:rPr>
        <w:footnoteReference w:customMarkFollows="0" w:id="2"/>
      </w:r>
      <w:r w:rsidDel="00000000" w:rsidR="00000000" w:rsidRPr="00000000">
        <w:rPr>
          <w:rFonts w:ascii="Arial" w:cs="Arial" w:eastAsia="Arial" w:hAnsi="Arial"/>
          <w:sz w:val="22"/>
          <w:szCs w:val="22"/>
          <w:rtl w:val="0"/>
        </w:rPr>
        <w:t xml:space="preserve"> pret izmaksām, skaidri pieejamības un ilgtspējas pasākumi. </w:t>
      </w:r>
    </w:p>
    <w:p w:rsidR="00000000" w:rsidDel="00000000" w:rsidP="00000000" w:rsidRDefault="00000000" w:rsidRPr="00000000" w14:paraId="0000004A">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7–4 punkti – auditorija vispārīgi definēta, pieejamība vai ilgtspēja minēta, bet nav izstrādāta.</w:t>
      </w:r>
    </w:p>
    <w:p w:rsidR="00000000" w:rsidDel="00000000" w:rsidP="00000000" w:rsidRDefault="00000000" w:rsidRPr="00000000" w14:paraId="0000004B">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3–0 punkti – trūkst skaidras informācijas par auditoriju, pieejamība un videi draudzīgums nav apskatīts.</w:t>
      </w:r>
    </w:p>
    <w:p w:rsidR="00000000" w:rsidDel="00000000" w:rsidP="00000000" w:rsidRDefault="00000000" w:rsidRPr="00000000" w14:paraId="0000004C">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17.5. kritērijā “Pretendenta kompetence” vērtē Pretendenta spēju nodrošināt Pasākuma kvalitatīvu izpildi, Pasākuma īstenotāju un iesaistīto mākslinieku un tehnisko speciālistu pieredzi līdzīgu projektu īstenošanā, vērtējot iepriekšējo 3 (trīs) gadu laikā īstenotos projektus, piešķirot līdz 10 punktiem:</w:t>
      </w:r>
    </w:p>
    <w:p w:rsidR="00000000" w:rsidDel="00000000" w:rsidP="00000000" w:rsidRDefault="00000000" w:rsidRPr="00000000" w14:paraId="0000004D">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10 – 8 punkti – plaša pieredze līdzvērtīgu projektu vadībā, komanda ar atbilstošu profesionālo kompetenci.</w:t>
      </w:r>
    </w:p>
    <w:p w:rsidR="00000000" w:rsidDel="00000000" w:rsidP="00000000" w:rsidRDefault="00000000" w:rsidRPr="00000000" w14:paraId="0000004E">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7 – 4 punkti – ir līdzīga pieredze, bet nav pilnībā demonstrēta komandas kapacitāte.</w:t>
      </w:r>
    </w:p>
    <w:p w:rsidR="00000000" w:rsidDel="00000000" w:rsidP="00000000" w:rsidRDefault="00000000" w:rsidRPr="00000000" w14:paraId="0000004F">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3–0 punkti – būtiskas pieredzes trūkums vai tā nav skaidri pierādīta.</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17.6. kritērijā “Pasākuma tāme” vērtē izmaksu pamatojumu, to samērību ar plānotajām aktivitātēm un auditoriju, finanšu piesaistes plānu, vai mārketinga aktivitāšu izmaksas sastāda vismaz 10% no kopējām Pasākuma izmaksām neatkarīgi no tā, vai tās plānots segt no pieprasītā līdzfinansējuma vai citiem finansējuma avotiem, piešķirot līdz 10 punktiem:</w:t>
      </w:r>
    </w:p>
    <w:p w:rsidR="00000000" w:rsidDel="00000000" w:rsidP="00000000" w:rsidRDefault="00000000" w:rsidRPr="00000000" w14:paraId="00000051">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10–8 punkti – izmaksas detalizētas un pamatotas, norādīts ticams finanšu piesaistes plāns, mārketinga izmaksas ir paredzētas un veido vismaz 10% no kopējām izmaksām.</w:t>
      </w:r>
    </w:p>
    <w:p w:rsidR="00000000" w:rsidDel="00000000" w:rsidP="00000000" w:rsidRDefault="00000000" w:rsidRPr="00000000" w14:paraId="00000052">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7–4 punkti – Tāme kopumā ir saprotama, taču atsevišķām pozīcijām trūkst detalizēta pamatojuma vai mārketinga izmaksas ir nepietiekamas vai nepamatotas vai finanšu piesaistes plāns bez pamatojuma.</w:t>
      </w:r>
    </w:p>
    <w:p w:rsidR="00000000" w:rsidDel="00000000" w:rsidP="00000000" w:rsidRDefault="00000000" w:rsidRPr="00000000" w14:paraId="00000053">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3–0 punkti – Izmaksas nav samērīgas ar plānotajām aktivitātēm, pamatojums ir nepilnīgs vai nav finanšu piesaistes plāna vai tas ir vājš vai nav iekļautas mārketinga izmaksas, kas būtu nepieciešamas pasākuma auditorijas sasniegšanai.</w:t>
      </w:r>
    </w:p>
    <w:p w:rsidR="00000000" w:rsidDel="00000000" w:rsidP="00000000" w:rsidRDefault="00000000" w:rsidRPr="00000000" w14:paraId="00000054">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17.7. kritērijā “Starptautiskā sadarbība” vērtē Pasākuma spēju veidot jēgpilnu un ilgtermiņā noturīgu starptautisku sadarbību, starptautisku partneru iesaisti Pasākuma īstenošanā, kā arī starptautiskās auditorijas piesaistes stratēģiju un tās īstenošanas potenciālu, piešķirot līdz 20 punktiem:</w:t>
      </w:r>
    </w:p>
    <w:p w:rsidR="00000000" w:rsidDel="00000000" w:rsidP="00000000" w:rsidRDefault="00000000" w:rsidRPr="00000000" w14:paraId="00000055">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20–17 punkti – Projektā ir identificēti konkrēti, nozīmīgi starptautiskie partneri, definēta sadarbības forma (kopražojums, kopprojekts, partneru līdzatbildība īstenošanā u.c.). Ir skaidrs un pārliecinošs starptautiskās auditorijas piesaistes plāns (mārketinga, komunikācijas vai mobilitātes stratēģija), un ir redzams ilgtermiņa starptautiskās sadarbības potenciāls arī pēc projekta norises.</w:t>
      </w:r>
    </w:p>
    <w:p w:rsidR="00000000" w:rsidDel="00000000" w:rsidP="00000000" w:rsidRDefault="00000000" w:rsidRPr="00000000" w14:paraId="00000056">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16–10 punkti – Projektā minēti iespējamie ārvalstu sadarbības partneri vai ir nosacīta iesaiste (piemēram, viesmākslinieki). Ir iezīmēta starptautiskās auditorijas piesaiste, taču stratēģija ir vispārīga vai nepietiekami attīstīta.</w:t>
      </w:r>
    </w:p>
    <w:p w:rsidR="00000000" w:rsidDel="00000000" w:rsidP="00000000" w:rsidRDefault="00000000" w:rsidRPr="00000000" w14:paraId="00000057">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9–0 punkti – Nav iesaistīti starptautiski partneri vai to loma projektā ir formāla (bez satura līdzradīšanas vai kopīgas īstenošanas). Starptautiskās auditorijas piesaiste nav plānota vai nav pamatota.</w:t>
      </w:r>
    </w:p>
    <w:p w:rsidR="00000000" w:rsidDel="00000000" w:rsidP="00000000" w:rsidRDefault="00000000" w:rsidRPr="00000000" w14:paraId="00000058">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17.8. Kritērijā “Mārketings un komunikācija” vērtē Pretendenta spēju nodrošināt un īstenot kvalitatīvu Pasākuma mārketinga un komunikācijas procesu. Tiek izvērtēti komunikācijas mērķi, identificētās mērķauditorijas un izvēlētie kanāli, starptautiskās un digitālās komunikācijas potenciāls, sabiedrības iesaistes un pieejamības risinājumi, ilgtspējas principu integrācija mārketinga aktivitātēs (piemēram, videi draudzīgi materiāli, piekļūstamība, vietējās kopienas iesaiste), ietekmes novērtēšanas rīku un metožu plānojums (piemēram, digitālās statistikas analīze, aptaujas, rezultātu izvērtēšana), kā arī piesaistīto komunikācijas un mārketinga speciālistu pieredze un profesionalitāte. Par šo kritēriju var piešķirt līdz 20 punktiem:</w:t>
      </w:r>
    </w:p>
    <w:p w:rsidR="00000000" w:rsidDel="00000000" w:rsidP="00000000" w:rsidRDefault="00000000" w:rsidRPr="00000000" w14:paraId="00000059">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20–17 punkti – komunikācijas stratēģija ir vispusīgi izstrādāta un profesionāli pamatota, ar skaidru starptautisko un digitālo virzienu, sabiedrības iesaistes un pieejamības risinājumiem, ilgtspējas principu ievērošanu un piesaistītiem pieredzējušiem speciālistiem;</w:t>
      </w:r>
    </w:p>
    <w:p w:rsidR="00000000" w:rsidDel="00000000" w:rsidP="00000000" w:rsidRDefault="00000000" w:rsidRPr="00000000" w14:paraId="0000005A">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16–10 punkti – stratēģija ir izstrādāta, taču daļēji trūkst detalizācijas vai ir nepietiekami attīstīta kāda no sadaļām (piemēram, digitālā vai starptautiskā dimensija), piesaistītajiem speciālistiem ir nepietiekama pieredze attiecīgajā jomā;</w:t>
      </w:r>
    </w:p>
    <w:p w:rsidR="00000000" w:rsidDel="00000000" w:rsidP="00000000" w:rsidRDefault="00000000" w:rsidRPr="00000000" w14:paraId="0000005B">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9–0 punkti – stratēģija ir vispārīga, pretrunīga vai nepilnīgi izstrādāta, trūkst pamatojuma par sabiedrības iesaisti, ilgtspējas risinājumiem vai speciālistu kompetenci.</w:t>
      </w:r>
    </w:p>
    <w:p w:rsidR="00000000" w:rsidDel="00000000" w:rsidP="00000000" w:rsidRDefault="00000000" w:rsidRPr="00000000" w14:paraId="0000005C">
      <w:pPr>
        <w:spacing w:line="36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D">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18. Izvērtējot Pieteikumus saskaņā ar noteiktajiem kritērijiem, Komisija pieņem lēmumu par atteikumu piešķirt Līdzfinansējumu šādos gadījumos:</w:t>
      </w:r>
    </w:p>
    <w:p w:rsidR="00000000" w:rsidDel="00000000" w:rsidP="00000000" w:rsidRDefault="00000000" w:rsidRPr="00000000" w14:paraId="0000005E">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18.1. Pieteikuma vidējais vērtējums (rēķinot visu komisijas locekļu piešķirto punktu aritmētisko vidējo) ir mazāks par 72 punktiem no maksimāli iespējamajiem 120 punktiem;</w:t>
      </w:r>
    </w:p>
    <w:p w:rsidR="00000000" w:rsidDel="00000000" w:rsidP="00000000" w:rsidRDefault="00000000" w:rsidRPr="00000000" w14:paraId="0000005F">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18.2. kritērijā “Pasākuma mākslinieciskā kvalitāte un aktualitāte” Pieteikums ir novērtēts ar deviņiem vai mazāk punktiem;</w:t>
      </w:r>
    </w:p>
    <w:p w:rsidR="00000000" w:rsidDel="00000000" w:rsidP="00000000" w:rsidRDefault="00000000" w:rsidRPr="00000000" w14:paraId="00000060">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18.3. kritērijā “Pasākuma atbilstība Konkursa vadlīnijām” Pieteikums ir novērtēts ar sešiem vai mazāk punktiem;</w:t>
      </w:r>
    </w:p>
    <w:p w:rsidR="00000000" w:rsidDel="00000000" w:rsidP="00000000" w:rsidRDefault="00000000" w:rsidRPr="00000000" w14:paraId="00000061">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18.4. kritērijā “’Starptautiskā sadarbība” Pieteikums ir novērtēts ar deviņiem vai mazāk punktiem;</w:t>
      </w:r>
    </w:p>
    <w:p w:rsidR="00000000" w:rsidDel="00000000" w:rsidP="00000000" w:rsidRDefault="00000000" w:rsidRPr="00000000" w14:paraId="00000062">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18.5. kritērijā “Mārketings un komunikācija” Pieteikums ir novērtēts ar deviņiem vai mazāk punktiem;</w:t>
      </w:r>
    </w:p>
    <w:p w:rsidR="00000000" w:rsidDel="00000000" w:rsidP="00000000" w:rsidRDefault="00000000" w:rsidRPr="00000000" w14:paraId="00000063">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18.6. Nodibinājuma budžetā Konkursam paredzētais finansējums nav pietiekams.</w:t>
      </w:r>
    </w:p>
    <w:p w:rsidR="00000000" w:rsidDel="00000000" w:rsidP="00000000" w:rsidRDefault="00000000" w:rsidRPr="00000000" w14:paraId="00000064">
      <w:pPr>
        <w:spacing w:line="360" w:lineRule="auto"/>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65">
      <w:pPr>
        <w:spacing w:line="360" w:lineRule="auto"/>
        <w:ind w:left="360" w:hanging="36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IV. Ekspertu un Komisijas kompetence, rezultātu paziņošanas kārtība, apstrīdēšana</w:t>
      </w:r>
    </w:p>
    <w:p w:rsidR="00000000" w:rsidDel="00000000" w:rsidP="00000000" w:rsidRDefault="00000000" w:rsidRPr="00000000" w14:paraId="00000066">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19. Lēmumu par līdzfinansējuma piešķiršanu, tā apmēru vai atteikumu piešķirt līdzfinansējumu pieņem Nodibinājuma izveidota vērtēšanas komisija (turpmāk – Komisija). Komisija sastāv no Komisijas priekšsēdētāja, Komisijas priekšsēdētāja vietnieka un vismaz pieciem (5) Komisijas locekļiem. Komisijas sēdes protokolē Komisijas sekretārs, kurš nav Komisijas loceklis. </w:t>
      </w:r>
    </w:p>
    <w:p w:rsidR="00000000" w:rsidDel="00000000" w:rsidP="00000000" w:rsidRDefault="00000000" w:rsidRPr="00000000" w14:paraId="00000067">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20. Komisijas darbu vada Komisijas priekšsēdētājs, bet viņa prombūtnes laikā – Komisijas priekšsēdētāja vietnieks. Komisijai ir tiesības pieņemt lēmumu, ja sēdē piedalās vairāk nekā puse no Komisijas locekļu skaita. Lēmumu pieņem ar vienkāršu balsu vairākumu. Ja balsis dalās vienādi, Komisijas priekšsēdētāja balss ir izšķirošā. Komisijas loceklis nevar atturēties no lēmuma pieņemšanas.</w:t>
      </w:r>
    </w:p>
    <w:p w:rsidR="00000000" w:rsidDel="00000000" w:rsidP="00000000" w:rsidRDefault="00000000" w:rsidRPr="00000000" w14:paraId="00000068">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21. Komisijas sēdes notiek bez Pretendenta klātbūtnes, taču Komisijai nepieciešamības gadījumā ir tiesības uzaicināt piedalīties sēdē Pretendenta pārstāvi.</w:t>
      </w:r>
    </w:p>
    <w:p w:rsidR="00000000" w:rsidDel="00000000" w:rsidP="00000000" w:rsidRDefault="00000000" w:rsidRPr="00000000" w14:paraId="00000069">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22. Nodibinājuma valde ar rīkojumu izveido konsultatīvo padomi, kurā darbojas vismaz četri (4) mākslas un kultūras nozaru eksperti ar vienādām tiesībām un pienākumiem (turpmāk – Konsultatīvā padome). Eksperti tiek izraudzīti, ņemot vērā viņu profesionālo pieredzi, kompetenci attiecīgajā nozarē un reputāciju.</w:t>
      </w:r>
    </w:p>
    <w:p w:rsidR="00000000" w:rsidDel="00000000" w:rsidP="00000000" w:rsidRDefault="00000000" w:rsidRPr="00000000" w14:paraId="0000006A">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23. Konsultatīvajai padomei ir padomdevēja tiesības un tās uzdevums ir, izmantojot tās locekļu profesionālo pieredzi un zināšanas, izskatīt iesniegtos Pieteikumus pēc būtības un sniegt rakstisku Pieteikumu satura izvērtējumu Komisijai. </w:t>
      </w:r>
    </w:p>
    <w:p w:rsidR="00000000" w:rsidDel="00000000" w:rsidP="00000000" w:rsidRDefault="00000000" w:rsidRPr="00000000" w14:paraId="0000006B">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24. Komisijas locekļi un eksperti paraksta apliecinājumu par interešu konflikta neesamību. Ja Komisijas loceklis vai eksperts ir personīgi ieinteresēts Pieteikuma izvēlē vai atbalstīšanā, viņš par to rakstiski informē Nodibinājuma valdi, kā arī nepiedalās Pieteikuma vērtēšanā un/vai lēmuma pieņemšanā.</w:t>
      </w:r>
    </w:p>
    <w:p w:rsidR="00000000" w:rsidDel="00000000" w:rsidP="00000000" w:rsidRDefault="00000000" w:rsidRPr="00000000" w14:paraId="0000006C">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25. Komisijai ir tiesības:</w:t>
      </w:r>
    </w:p>
    <w:p w:rsidR="00000000" w:rsidDel="00000000" w:rsidP="00000000" w:rsidRDefault="00000000" w:rsidRPr="00000000" w14:paraId="0000006D">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25.1. lūgt Pretendentam noteiktā termiņā skaidrot un precizēt Pieteikumā ietverto informāciju, iesniegt pamatojošus dokumentus;</w:t>
      </w:r>
    </w:p>
    <w:p w:rsidR="00000000" w:rsidDel="00000000" w:rsidP="00000000" w:rsidRDefault="00000000" w:rsidRPr="00000000" w14:paraId="0000006E">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25.2. veikt aritmētisko kļūdu labojumus;</w:t>
      </w:r>
    </w:p>
    <w:p w:rsidR="00000000" w:rsidDel="00000000" w:rsidP="00000000" w:rsidRDefault="00000000" w:rsidRPr="00000000" w14:paraId="0000006F">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25.3. noteikt Līdzfinansējuma izmaksas kārtību;</w:t>
      </w:r>
    </w:p>
    <w:p w:rsidR="00000000" w:rsidDel="00000000" w:rsidP="00000000" w:rsidRDefault="00000000" w:rsidRPr="00000000" w14:paraId="00000070">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25.4. atbalstīt daļu no Pasākuma tāmes pozīcijām vai tāmes pozīcijā pieprasītās summas.</w:t>
      </w:r>
    </w:p>
    <w:p w:rsidR="00000000" w:rsidDel="00000000" w:rsidP="00000000" w:rsidRDefault="00000000" w:rsidRPr="00000000" w14:paraId="00000071">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26. Komisija 15 darbdienu laikā pēc lēmuma pieņemšanas paziņo to adresātam ar elektroniskā pasta starpniecību, izmantojot drošu elektronisko parakstu. Komisijas lēmums uzskatāms par paziņotu otrajā darbdienā pēc tā nosūtīšanas.</w:t>
      </w:r>
    </w:p>
    <w:p w:rsidR="00000000" w:rsidDel="00000000" w:rsidP="00000000" w:rsidRDefault="00000000" w:rsidRPr="00000000" w14:paraId="00000072">
      <w:pPr>
        <w:spacing w:line="360" w:lineRule="auto"/>
        <w:ind w:left="360" w:hanging="360"/>
        <w:jc w:val="both"/>
        <w:rPr>
          <w:rFonts w:ascii="Arial" w:cs="Arial" w:eastAsia="Arial" w:hAnsi="Arial"/>
          <w:color w:val="467886"/>
          <w:sz w:val="22"/>
          <w:szCs w:val="22"/>
          <w:u w:val="single"/>
        </w:rPr>
      </w:pPr>
      <w:r w:rsidDel="00000000" w:rsidR="00000000" w:rsidRPr="00000000">
        <w:rPr>
          <w:rFonts w:ascii="Arial" w:cs="Arial" w:eastAsia="Arial" w:hAnsi="Arial"/>
          <w:sz w:val="22"/>
          <w:szCs w:val="22"/>
          <w:rtl w:val="0"/>
        </w:rPr>
        <w:t xml:space="preserve">27. Paziņojums par konkursa rezultātiem tiek publicēts tīmekļvietnē </w:t>
      </w:r>
      <w:hyperlink r:id="rId11">
        <w:r w:rsidDel="00000000" w:rsidR="00000000" w:rsidRPr="00000000">
          <w:rPr>
            <w:rFonts w:ascii="Arial" w:cs="Arial" w:eastAsia="Arial" w:hAnsi="Arial"/>
            <w:color w:val="000000"/>
            <w:sz w:val="22"/>
            <w:szCs w:val="22"/>
            <w:u w:val="none"/>
            <w:rtl w:val="0"/>
          </w:rPr>
          <w:t xml:space="preserve">www.liepaja2027.lv</w:t>
        </w:r>
      </w:hyperlink>
      <w:r w:rsidDel="00000000" w:rsidR="00000000" w:rsidRPr="00000000">
        <w:rPr>
          <w:rFonts w:ascii="Arial" w:cs="Arial" w:eastAsia="Arial" w:hAnsi="Arial"/>
          <w:sz w:val="22"/>
          <w:szCs w:val="22"/>
          <w:rtl w:val="0"/>
        </w:rPr>
        <w:t xml:space="preserve">, norādot līdzfinansējuma saņēmējus un piešķirtā līdzfinansējuma apmēru.</w:t>
      </w:r>
      <w:r w:rsidDel="00000000" w:rsidR="00000000" w:rsidRPr="00000000">
        <w:rPr>
          <w:rtl w:val="0"/>
        </w:rPr>
      </w:r>
    </w:p>
    <w:p w:rsidR="00000000" w:rsidDel="00000000" w:rsidP="00000000" w:rsidRDefault="00000000" w:rsidRPr="00000000" w14:paraId="00000073">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28. Komisijas lēmumu var apstrīdēt Nodibinājuma valdes priekšsēdētājai, iesniedzot sūdzību 10 (desmit) dienu laikā pēc lēmuma paziņošanas.</w:t>
      </w:r>
    </w:p>
    <w:p w:rsidR="00000000" w:rsidDel="00000000" w:rsidP="00000000" w:rsidRDefault="00000000" w:rsidRPr="00000000" w14:paraId="00000074">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29. Pamatojoties uz Komisijas lēmumu par līdzfinansējuma piešķiršanu, Nodibinājums un pretendents slēdz finansēšanas līgumu par līdzfinansējuma piešķiršanas, izlietošanas un atskaišu iesniegšanas kārtību.</w:t>
      </w:r>
    </w:p>
    <w:p w:rsidR="00000000" w:rsidDel="00000000" w:rsidP="00000000" w:rsidRDefault="00000000" w:rsidRPr="00000000" w14:paraId="00000075">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30. Līdzfinansējuma saņēmējam ir pienākums:</w:t>
      </w:r>
    </w:p>
    <w:p w:rsidR="00000000" w:rsidDel="00000000" w:rsidP="00000000" w:rsidRDefault="00000000" w:rsidRPr="00000000" w14:paraId="00000076">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30.1. iesniegt pārskatu par līdzfinansējuma izlietojumu, t. sk. pēc pieprasījuma uzrādīt grāmatvedības pamatojuma dokumentus;</w:t>
      </w:r>
    </w:p>
    <w:p w:rsidR="00000000" w:rsidDel="00000000" w:rsidP="00000000" w:rsidRDefault="00000000" w:rsidRPr="00000000" w14:paraId="00000077">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30.2. atmaksāt līdzfinansējumu vai tā daļu, ja tas tika saņemts, sniedzot nepatiesu vai nepilnīgu informāciju vai nepaziņojot par apstākļiem, kuri ietekmē tiesības uz līdzfinansējuma saņemšanu;</w:t>
      </w:r>
    </w:p>
    <w:p w:rsidR="00000000" w:rsidDel="00000000" w:rsidP="00000000" w:rsidRDefault="00000000" w:rsidRPr="00000000" w14:paraId="00000078">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30.3. atmaksāt saņemtā līdzfinansējuma daļu, kura izlietota, neievērojot finansēšanas līguma nosacījumus.</w:t>
      </w:r>
    </w:p>
    <w:p w:rsidR="00000000" w:rsidDel="00000000" w:rsidP="00000000" w:rsidRDefault="00000000" w:rsidRPr="00000000" w14:paraId="00000079">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31. Ja līdzfinansējums netiek izlietots iepriekš paredzētajiem mērķiem, netiek izlietots vai tiek izlietots daļēji, tad tā saņēmējs atmaksā Nodibinājumam neizlietoto līdzfinansējuma daļu vai neatbilstoši piešķiršanas mērķim izlietotu līdzfinansējumu finansēšanas līgumā noteiktajā kārtībā.</w:t>
      </w:r>
    </w:p>
    <w:p w:rsidR="00000000" w:rsidDel="00000000" w:rsidP="00000000" w:rsidRDefault="00000000" w:rsidRPr="00000000" w14:paraId="0000007A">
      <w:pPr>
        <w:spacing w:line="360" w:lineRule="auto"/>
        <w:ind w:left="360" w:hanging="36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7B">
      <w:pPr>
        <w:spacing w:line="360" w:lineRule="auto"/>
        <w:ind w:left="36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Nolikumam ir sekojoši pielikumi:</w:t>
      </w:r>
    </w:p>
    <w:p w:rsidR="00000000" w:rsidDel="00000000" w:rsidP="00000000" w:rsidRDefault="00000000" w:rsidRPr="00000000" w14:paraId="0000007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Pielikums – Pieteikuma forma;</w:t>
      </w:r>
    </w:p>
    <w:p w:rsidR="00000000" w:rsidDel="00000000" w:rsidP="00000000" w:rsidRDefault="00000000" w:rsidRPr="00000000" w14:paraId="0000007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Pielikums – Vadlīnijas;</w:t>
      </w:r>
    </w:p>
    <w:p w:rsidR="00000000" w:rsidDel="00000000" w:rsidP="00000000" w:rsidRDefault="00000000" w:rsidRPr="00000000" w14:paraId="0000007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Pielikums – Tāmes forma;</w:t>
      </w:r>
    </w:p>
    <w:p w:rsidR="00000000" w:rsidDel="00000000" w:rsidP="00000000" w:rsidRDefault="00000000" w:rsidRPr="00000000" w14:paraId="0000007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360"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Pielikums – Līguma projekts. </w:t>
      </w:r>
    </w:p>
    <w:p w:rsidR="00000000" w:rsidDel="00000000" w:rsidP="00000000" w:rsidRDefault="00000000" w:rsidRPr="00000000" w14:paraId="00000080">
      <w:pPr>
        <w:spacing w:line="36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Nodibinājuma vārdā:</w:t>
      </w:r>
    </w:p>
    <w:p w:rsidR="00000000" w:rsidDel="00000000" w:rsidP="00000000" w:rsidRDefault="00000000" w:rsidRPr="00000000" w14:paraId="00000081">
      <w:pPr>
        <w:spacing w:line="36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Inta Šoriņa, valdes priekšsēdētāja </w:t>
      </w:r>
    </w:p>
    <w:p w:rsidR="00000000" w:rsidDel="00000000" w:rsidP="00000000" w:rsidRDefault="00000000" w:rsidRPr="00000000" w14:paraId="00000082">
      <w:pPr>
        <w:spacing w:line="36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Eva Ciekurze, valdes locekle </w:t>
      </w:r>
    </w:p>
    <w:p w:rsidR="00000000" w:rsidDel="00000000" w:rsidP="00000000" w:rsidRDefault="00000000" w:rsidRPr="00000000" w14:paraId="00000083">
      <w:pPr>
        <w:spacing w:line="36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Baiba Bartkeviča, valdes locekle</w:t>
      </w:r>
    </w:p>
    <w:sectPr>
      <w:footerReference r:id="rId12" w:type="default"/>
      <w:footerReference r:id="rId13" w:type="even"/>
      <w:pgSz w:h="15840" w:w="12240" w:orient="portrait"/>
      <w:pgMar w:bottom="1440" w:top="1440" w:left="1440" w:right="1440" w:header="144" w:footer="14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Play">
    <w:embedRegular w:fontKey="{00000000-0000-0000-0000-000000000000}" r:id="rId1" w:subsetted="0"/>
    <w:embedBold w:fontKey="{00000000-0000-0000-0000-000000000000}" r:id="rId2" w:subsetted="0"/>
  </w:font>
  <w:font w:name="Cambria Math">
    <w:embedRegular w:fontKey="{00000000-0000-0000-0000-000000000000}" r:id="rId3"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Arial" w:cs="Arial" w:eastAsia="Arial" w:hAnsi="Arial"/>
        <w:i w:val="0"/>
        <w:smallCaps w:val="0"/>
        <w:strike w:val="0"/>
        <w:color w:val="000000"/>
        <w:sz w:val="18"/>
        <w:szCs w:val="18"/>
        <w:u w:val="none"/>
        <w:shd w:fill="auto" w:val="clear"/>
        <w:vertAlign w:val="baseline"/>
      </w:rPr>
    </w:pPr>
    <w:r w:rsidDel="00000000" w:rsidR="00000000" w:rsidRPr="00000000">
      <w:rPr>
        <w:rFonts w:ascii="Arial" w:cs="Arial" w:eastAsia="Arial" w:hAnsi="Arial"/>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Ilgtspējīgu un pārstrādājamu materiālu izmantošana, atkārtoti izmantojamu dekorāciju un būvju pielietošana, resursu patēriņa (ūdens, elektrības, degvielas) samazināšana, digitālas komunikācijas priekšrocību izmantošana, pēc iespējas mazāks CO</w:t>
      </w:r>
      <w:r w:rsidDel="00000000" w:rsidR="00000000" w:rsidRPr="00000000">
        <w:rPr>
          <w:rFonts w:ascii="Cambria Math" w:cs="Cambria Math" w:eastAsia="Cambria Math" w:hAnsi="Cambria Math"/>
          <w:b w:val="0"/>
          <w:i w:val="0"/>
          <w:smallCaps w:val="0"/>
          <w:strike w:val="0"/>
          <w:color w:val="000000"/>
          <w:sz w:val="18"/>
          <w:szCs w:val="18"/>
          <w:u w:val="none"/>
          <w:shd w:fill="auto" w:val="clear"/>
          <w:vertAlign w:val="baseline"/>
          <w:rtl w:val="0"/>
        </w:rPr>
        <w:t xml:space="preserve">₂</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emisiju apjoms visos posmos, u.tml.</w:t>
      </w:r>
    </w:p>
  </w:footnote>
  <w:footnote w:id="1">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Pasākuma plānošanā un īstenošanā iekļautas aktivitātes, kas samazina ietekmi uz vidi – piemēram, atkritumu samazināšana, otrreizēja izmantošana, atbildīga transporta loģistika, atjaunojamās enerģijas izmantošana, bezpapīra komunikācija, u.c.</w:t>
      </w:r>
      <w:r w:rsidDel="00000000" w:rsidR="00000000" w:rsidRPr="00000000">
        <w:rPr>
          <w:rtl w:val="0"/>
        </w:rPr>
      </w:r>
    </w:p>
  </w:footnote>
  <w:footnote w:id="2">
    <w:p w:rsidR="00000000" w:rsidDel="00000000" w:rsidP="00000000" w:rsidRDefault="00000000" w:rsidRPr="00000000" w14:paraId="00000086">
      <w:pPr>
        <w:jc w:val="both"/>
        <w:rPr>
          <w:rFonts w:ascii="Arial" w:cs="Arial" w:eastAsia="Arial" w:hAnsi="Arial"/>
          <w:sz w:val="20"/>
          <w:szCs w:val="20"/>
        </w:rPr>
      </w:pPr>
      <w:r w:rsidDel="00000000" w:rsidR="00000000" w:rsidRPr="00000000">
        <w:rPr>
          <w:rStyle w:val="FootnoteReference"/>
          <w:vertAlign w:val="superscript"/>
        </w:rPr>
        <w:footnoteRef/>
      </w:r>
      <w:r w:rsidDel="00000000" w:rsidR="00000000" w:rsidRPr="00000000">
        <w:rPr>
          <w:rFonts w:ascii="Arial" w:cs="Arial" w:eastAsia="Arial" w:hAnsi="Arial"/>
          <w:sz w:val="20"/>
          <w:szCs w:val="20"/>
          <w:rtl w:val="0"/>
        </w:rPr>
        <w:t xml:space="preserve"> Par samērīgu tiek uzskatīts auditorijas skaits, kas ir proporcionāls pasākuma mērogam un pieprasītajam finansējumam, ņemot vērā programmas raksturu un pieejamību.</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1"/>
      <w:numFmt w:val="decimal"/>
      <w:lvlText w:val="%1."/>
      <w:lvlJc w:val="left"/>
      <w:pPr>
        <w:ind w:left="440" w:hanging="440"/>
      </w:pPr>
      <w:rPr/>
    </w:lvl>
    <w:lvl w:ilvl="1">
      <w:start w:val="4"/>
      <w:numFmt w:val="decimal"/>
      <w:lvlText w:val="%1.%2."/>
      <w:lvlJc w:val="left"/>
      <w:pPr>
        <w:ind w:left="440" w:hanging="44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2">
    <w:lvl w:ilvl="0">
      <w:start w:val="3"/>
      <w:numFmt w:val="upperRoman"/>
      <w:lvlText w:val="%1."/>
      <w:lvlJc w:val="left"/>
      <w:pPr>
        <w:ind w:left="1440" w:hanging="72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lv-LV"/>
      </w:rPr>
    </w:rPrDefault>
    <w:pPrDefault>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before="40" w:lineRule="auto"/>
    </w:pPr>
    <w:rPr>
      <w:i w:val="1"/>
      <w:color w:val="595959"/>
    </w:rPr>
  </w:style>
  <w:style w:type="paragraph" w:styleId="Title">
    <w:name w:val="Title"/>
    <w:basedOn w:val="Normal"/>
    <w:next w:val="Normal"/>
    <w:pPr>
      <w:spacing w:after="80" w:lineRule="auto"/>
    </w:pPr>
    <w:rPr>
      <w:rFonts w:ascii="Play" w:cs="Play" w:eastAsia="Play" w:hAnsi="Play"/>
      <w:sz w:val="56"/>
      <w:szCs w:val="56"/>
    </w:rPr>
  </w:style>
  <w:style w:type="paragraph" w:styleId="Normal" w:default="1">
    <w:name w:val="Normal"/>
    <w:qFormat w:val="1"/>
    <w:rsid w:val="00155C27"/>
    <w:pPr>
      <w:spacing w:after="0" w:line="240" w:lineRule="auto"/>
    </w:pPr>
    <w:rPr>
      <w:rFonts w:ascii="Times New Roman" w:cs="Times New Roman" w:eastAsia="Times New Roman" w:hAnsi="Times New Roman"/>
      <w:kern w:val="0"/>
    </w:rPr>
  </w:style>
  <w:style w:type="paragraph" w:styleId="Heading1">
    <w:name w:val="heading 1"/>
    <w:basedOn w:val="Normal"/>
    <w:next w:val="Normal"/>
    <w:link w:val="Heading1Char"/>
    <w:uiPriority w:val="9"/>
    <w:qFormat w:val="1"/>
    <w:rsid w:val="00155C27"/>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155C27"/>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155C27"/>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155C27"/>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155C27"/>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155C27"/>
    <w:pPr>
      <w:keepNext w:val="1"/>
      <w:keepLines w:val="1"/>
      <w:spacing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155C27"/>
    <w:pPr>
      <w:keepNext w:val="1"/>
      <w:keepLines w:val="1"/>
      <w:spacing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155C27"/>
    <w:pPr>
      <w:keepNext w:val="1"/>
      <w:keepLines w:val="1"/>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155C27"/>
    <w:pPr>
      <w:keepNext w:val="1"/>
      <w:keepLines w:val="1"/>
      <w:outlineLvl w:val="8"/>
    </w:pPr>
    <w:rPr>
      <w:rFonts w:cstheme="majorBidi" w:eastAsiaTheme="majorEastAsia"/>
      <w:color w:val="272727" w:themeColor="text1" w:themeTint="0000D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155C27"/>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155C27"/>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155C27"/>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155C27"/>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155C27"/>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155C27"/>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155C27"/>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155C27"/>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155C27"/>
    <w:rPr>
      <w:rFonts w:cstheme="majorBidi" w:eastAsiaTheme="majorEastAsia"/>
      <w:color w:val="272727" w:themeColor="text1" w:themeTint="0000D8"/>
    </w:rPr>
  </w:style>
  <w:style w:type="paragraph" w:styleId="Title">
    <w:name w:val="Title"/>
    <w:basedOn w:val="Normal"/>
    <w:next w:val="Normal"/>
    <w:link w:val="TitleChar"/>
    <w:uiPriority w:val="10"/>
    <w:qFormat w:val="1"/>
    <w:rsid w:val="00155C27"/>
    <w:pPr>
      <w:spacing w:after="80"/>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155C27"/>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155C27"/>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155C27"/>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155C27"/>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155C27"/>
    <w:rPr>
      <w:i w:val="1"/>
      <w:iCs w:val="1"/>
      <w:color w:val="404040" w:themeColor="text1" w:themeTint="0000BF"/>
    </w:rPr>
  </w:style>
  <w:style w:type="paragraph" w:styleId="ListParagraph">
    <w:name w:val="List Paragraph"/>
    <w:basedOn w:val="Normal"/>
    <w:uiPriority w:val="34"/>
    <w:qFormat w:val="1"/>
    <w:rsid w:val="00155C27"/>
    <w:pPr>
      <w:ind w:left="720"/>
      <w:contextualSpacing w:val="1"/>
    </w:pPr>
  </w:style>
  <w:style w:type="character" w:styleId="IntenseEmphasis">
    <w:name w:val="Intense Emphasis"/>
    <w:basedOn w:val="DefaultParagraphFont"/>
    <w:uiPriority w:val="21"/>
    <w:qFormat w:val="1"/>
    <w:rsid w:val="00155C27"/>
    <w:rPr>
      <w:i w:val="1"/>
      <w:iCs w:val="1"/>
      <w:color w:val="0f4761" w:themeColor="accent1" w:themeShade="0000BF"/>
    </w:rPr>
  </w:style>
  <w:style w:type="paragraph" w:styleId="IntenseQuote">
    <w:name w:val="Intense Quote"/>
    <w:basedOn w:val="Normal"/>
    <w:next w:val="Normal"/>
    <w:link w:val="IntenseQuoteChar"/>
    <w:uiPriority w:val="30"/>
    <w:qFormat w:val="1"/>
    <w:rsid w:val="00155C27"/>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155C27"/>
    <w:rPr>
      <w:i w:val="1"/>
      <w:iCs w:val="1"/>
      <w:color w:val="0f4761" w:themeColor="accent1" w:themeShade="0000BF"/>
    </w:rPr>
  </w:style>
  <w:style w:type="character" w:styleId="IntenseReference">
    <w:name w:val="Intense Reference"/>
    <w:basedOn w:val="DefaultParagraphFont"/>
    <w:uiPriority w:val="32"/>
    <w:qFormat w:val="1"/>
    <w:rsid w:val="00155C27"/>
    <w:rPr>
      <w:b w:val="1"/>
      <w:bCs w:val="1"/>
      <w:smallCaps w:val="1"/>
      <w:color w:val="0f4761" w:themeColor="accent1" w:themeShade="0000BF"/>
      <w:spacing w:val="5"/>
    </w:rPr>
  </w:style>
  <w:style w:type="character" w:styleId="Hyperlink">
    <w:name w:val="Hyperlink"/>
    <w:basedOn w:val="DefaultParagraphFont"/>
    <w:uiPriority w:val="99"/>
    <w:unhideWhenUsed w:val="1"/>
    <w:rsid w:val="00155C27"/>
    <w:rPr>
      <w:color w:val="467886" w:themeColor="hyperlink"/>
      <w:u w:val="single"/>
    </w:rPr>
  </w:style>
  <w:style w:type="paragraph" w:styleId="FootnoteText">
    <w:name w:val="footnote text"/>
    <w:basedOn w:val="Normal"/>
    <w:link w:val="FootnoteTextChar"/>
    <w:uiPriority w:val="99"/>
    <w:semiHidden w:val="1"/>
    <w:unhideWhenUsed w:val="1"/>
    <w:rsid w:val="00155C27"/>
    <w:rPr>
      <w:rFonts w:asciiTheme="minorHAnsi" w:cstheme="minorBidi" w:eastAsiaTheme="minorHAnsi" w:hAnsiTheme="minorHAnsi"/>
      <w:kern w:val="2"/>
      <w:sz w:val="20"/>
      <w:szCs w:val="20"/>
    </w:rPr>
  </w:style>
  <w:style w:type="character" w:styleId="FootnoteTextChar" w:customStyle="1">
    <w:name w:val="Footnote Text Char"/>
    <w:basedOn w:val="DefaultParagraphFont"/>
    <w:link w:val="FootnoteText"/>
    <w:uiPriority w:val="99"/>
    <w:semiHidden w:val="1"/>
    <w:rsid w:val="00155C27"/>
    <w:rPr>
      <w:sz w:val="20"/>
      <w:szCs w:val="20"/>
    </w:rPr>
  </w:style>
  <w:style w:type="character" w:styleId="FootnoteReference">
    <w:name w:val="footnote reference"/>
    <w:basedOn w:val="DefaultParagraphFont"/>
    <w:uiPriority w:val="99"/>
    <w:semiHidden w:val="1"/>
    <w:unhideWhenUsed w:val="1"/>
    <w:rsid w:val="00155C27"/>
    <w:rPr>
      <w:vertAlign w:val="superscript"/>
    </w:rPr>
  </w:style>
  <w:style w:type="character" w:styleId="CommentReference">
    <w:name w:val="annotation reference"/>
    <w:basedOn w:val="DefaultParagraphFont"/>
    <w:uiPriority w:val="99"/>
    <w:semiHidden w:val="1"/>
    <w:unhideWhenUsed w:val="1"/>
    <w:rsid w:val="00155C27"/>
    <w:rPr>
      <w:sz w:val="16"/>
      <w:szCs w:val="16"/>
    </w:rPr>
  </w:style>
  <w:style w:type="paragraph" w:styleId="CommentText">
    <w:name w:val="annotation text"/>
    <w:basedOn w:val="Normal"/>
    <w:link w:val="CommentTextChar"/>
    <w:uiPriority w:val="99"/>
    <w:unhideWhenUsed w:val="1"/>
    <w:rsid w:val="00155C27"/>
    <w:rPr>
      <w:sz w:val="20"/>
      <w:szCs w:val="20"/>
    </w:rPr>
  </w:style>
  <w:style w:type="character" w:styleId="CommentTextChar" w:customStyle="1">
    <w:name w:val="Comment Text Char"/>
    <w:basedOn w:val="DefaultParagraphFont"/>
    <w:link w:val="CommentText"/>
    <w:uiPriority w:val="99"/>
    <w:rsid w:val="00155C27"/>
    <w:rPr>
      <w:rFonts w:ascii="Times New Roman" w:cs="Times New Roman" w:eastAsia="Times New Roman" w:hAnsi="Times New Roman"/>
      <w:kern w:val="0"/>
      <w:sz w:val="20"/>
      <w:szCs w:val="20"/>
    </w:rPr>
  </w:style>
  <w:style w:type="paragraph" w:styleId="Footer">
    <w:name w:val="footer"/>
    <w:basedOn w:val="Normal"/>
    <w:link w:val="FooterChar"/>
    <w:uiPriority w:val="99"/>
    <w:unhideWhenUsed w:val="1"/>
    <w:rsid w:val="00155C27"/>
    <w:pPr>
      <w:tabs>
        <w:tab w:val="center" w:pos="4680"/>
        <w:tab w:val="right" w:pos="9360"/>
      </w:tabs>
    </w:pPr>
  </w:style>
  <w:style w:type="character" w:styleId="FooterChar" w:customStyle="1">
    <w:name w:val="Footer Char"/>
    <w:basedOn w:val="DefaultParagraphFont"/>
    <w:link w:val="Footer"/>
    <w:uiPriority w:val="99"/>
    <w:rsid w:val="00155C27"/>
    <w:rPr>
      <w:rFonts w:ascii="Times New Roman" w:cs="Times New Roman" w:eastAsia="Times New Roman" w:hAnsi="Times New Roman"/>
      <w:kern w:val="0"/>
    </w:rPr>
  </w:style>
  <w:style w:type="character" w:styleId="PageNumber">
    <w:name w:val="page number"/>
    <w:basedOn w:val="DefaultParagraphFont"/>
    <w:uiPriority w:val="99"/>
    <w:semiHidden w:val="1"/>
    <w:unhideWhenUsed w:val="1"/>
    <w:rsid w:val="00155C27"/>
  </w:style>
  <w:style w:type="character" w:styleId="FollowedHyperlink">
    <w:name w:val="FollowedHyperlink"/>
    <w:basedOn w:val="DefaultParagraphFont"/>
    <w:uiPriority w:val="99"/>
    <w:semiHidden w:val="1"/>
    <w:unhideWhenUsed w:val="1"/>
    <w:rsid w:val="007077FC"/>
    <w:rPr>
      <w:color w:val="96607d" w:themeColor="followedHyperlink"/>
      <w:u w:val="single"/>
    </w:rPr>
  </w:style>
  <w:style w:type="paragraph" w:styleId="CommentSubject">
    <w:name w:val="annotation subject"/>
    <w:basedOn w:val="CommentText"/>
    <w:next w:val="CommentText"/>
    <w:link w:val="CommentSubjectChar"/>
    <w:uiPriority w:val="99"/>
    <w:semiHidden w:val="1"/>
    <w:unhideWhenUsed w:val="1"/>
    <w:rsid w:val="00E7209D"/>
    <w:rPr>
      <w:b w:val="1"/>
      <w:bCs w:val="1"/>
    </w:rPr>
  </w:style>
  <w:style w:type="character" w:styleId="CommentSubjectChar" w:customStyle="1">
    <w:name w:val="Comment Subject Char"/>
    <w:basedOn w:val="CommentTextChar"/>
    <w:link w:val="CommentSubject"/>
    <w:uiPriority w:val="99"/>
    <w:semiHidden w:val="1"/>
    <w:rsid w:val="00E7209D"/>
    <w:rPr>
      <w:rFonts w:ascii="Times New Roman" w:cs="Times New Roman" w:eastAsia="Times New Roman" w:hAnsi="Times New Roman"/>
      <w:b w:val="1"/>
      <w:bCs w:val="1"/>
      <w:kern w:val="0"/>
      <w:sz w:val="20"/>
      <w:szCs w:val="20"/>
    </w:rPr>
  </w:style>
  <w:style w:type="paragraph" w:styleId="BalloonText">
    <w:name w:val="Balloon Text"/>
    <w:basedOn w:val="Normal"/>
    <w:link w:val="BalloonTextChar"/>
    <w:uiPriority w:val="99"/>
    <w:semiHidden w:val="1"/>
    <w:unhideWhenUsed w:val="1"/>
    <w:rsid w:val="00E7209D"/>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E7209D"/>
    <w:rPr>
      <w:rFonts w:ascii="Segoe UI" w:cs="Segoe UI" w:eastAsia="Times New Roman" w:hAnsi="Segoe UI"/>
      <w:kern w:val="0"/>
      <w:sz w:val="18"/>
      <w:szCs w:val="18"/>
    </w:rPr>
  </w:style>
  <w:style w:type="paragraph" w:styleId="Revision">
    <w:name w:val="Revision"/>
    <w:hidden w:val="1"/>
    <w:uiPriority w:val="99"/>
    <w:semiHidden w:val="1"/>
    <w:rsid w:val="00E3723B"/>
    <w:pPr>
      <w:spacing w:after="0" w:line="240" w:lineRule="auto"/>
    </w:pPr>
    <w:rPr>
      <w:rFonts w:ascii="Times New Roman" w:cs="Times New Roman" w:eastAsia="Times New Roman" w:hAnsi="Times New Roman"/>
      <w:kern w:val="0"/>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1" Type="http://schemas.openxmlformats.org/officeDocument/2006/relationships/hyperlink" Target="http://www.liepaja2027.lv" TargetMode="External"/><Relationship Id="rId10" Type="http://schemas.openxmlformats.org/officeDocument/2006/relationships/hyperlink" Target="mailto:birojs@liepaja2027.lv" TargetMode="Externa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liepaja2027.lv"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image" Target="media/image1.jpg"/></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CambriaMath-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CiNjey86SaCFByQPFvApjB8e4OA==">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2025-05-29T15:58:00Z</dcterms:created>
  <dc:creator>Agnese Medne</dc:creator>
</cp:coreProperties>
</file>