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37B4FF" w14:textId="77777777" w:rsidR="00910F46" w:rsidRDefault="00000000">
      <w:pPr>
        <w:ind w:hanging="2"/>
        <w:jc w:val="center"/>
        <w:rPr>
          <w:rFonts w:ascii="Arial" w:eastAsia="Arial" w:hAnsi="Arial" w:cs="Arial"/>
          <w:sz w:val="22"/>
          <w:szCs w:val="22"/>
        </w:rPr>
      </w:pPr>
      <w:r>
        <w:rPr>
          <w:rFonts w:ascii="Arial" w:eastAsia="Arial" w:hAnsi="Arial" w:cs="Arial"/>
          <w:noProof/>
          <w:sz w:val="22"/>
          <w:szCs w:val="22"/>
        </w:rPr>
        <w:drawing>
          <wp:anchor distT="114300" distB="114300" distL="114300" distR="114300" simplePos="0" relativeHeight="251658240" behindDoc="0" locked="0" layoutInCell="1" hidden="0" allowOverlap="1" wp14:anchorId="2E7DA253" wp14:editId="24C90D97">
            <wp:simplePos x="0" y="0"/>
            <wp:positionH relativeFrom="page">
              <wp:posOffset>2643188</wp:posOffset>
            </wp:positionH>
            <wp:positionV relativeFrom="page">
              <wp:posOffset>257175</wp:posOffset>
            </wp:positionV>
            <wp:extent cx="2481263" cy="789493"/>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481263" cy="789493"/>
                    </a:xfrm>
                    <a:prstGeom prst="rect">
                      <a:avLst/>
                    </a:prstGeom>
                    <a:ln/>
                  </pic:spPr>
                </pic:pic>
              </a:graphicData>
            </a:graphic>
          </wp:anchor>
        </w:drawing>
      </w:r>
    </w:p>
    <w:p w14:paraId="7D276530" w14:textId="77777777" w:rsidR="00910F46" w:rsidRDefault="00000000">
      <w:pPr>
        <w:ind w:hanging="2"/>
        <w:jc w:val="center"/>
        <w:rPr>
          <w:rFonts w:ascii="Arial" w:eastAsia="Arial" w:hAnsi="Arial" w:cs="Arial"/>
          <w:sz w:val="22"/>
          <w:szCs w:val="22"/>
        </w:rPr>
      </w:pPr>
      <w:r>
        <w:rPr>
          <w:rFonts w:ascii="Arial" w:eastAsia="Arial" w:hAnsi="Arial" w:cs="Arial"/>
          <w:sz w:val="22"/>
          <w:szCs w:val="22"/>
        </w:rPr>
        <w:t>Nodibinājums</w:t>
      </w:r>
    </w:p>
    <w:p w14:paraId="6B61D85F" w14:textId="77777777" w:rsidR="00910F46" w:rsidRDefault="00000000">
      <w:pPr>
        <w:ind w:hanging="2"/>
        <w:jc w:val="center"/>
        <w:rPr>
          <w:rFonts w:ascii="Arial" w:eastAsia="Arial" w:hAnsi="Arial" w:cs="Arial"/>
          <w:sz w:val="22"/>
          <w:szCs w:val="22"/>
        </w:rPr>
      </w:pPr>
      <w:r>
        <w:rPr>
          <w:rFonts w:ascii="Arial" w:eastAsia="Arial" w:hAnsi="Arial" w:cs="Arial"/>
          <w:b/>
          <w:sz w:val="22"/>
          <w:szCs w:val="22"/>
        </w:rPr>
        <w:t>Nodibinājums Liepāja 2027</w:t>
      </w:r>
    </w:p>
    <w:p w14:paraId="23B6B11F" w14:textId="77777777" w:rsidR="00910F46" w:rsidRDefault="00000000">
      <w:pPr>
        <w:jc w:val="right"/>
        <w:rPr>
          <w:rFonts w:ascii="Arial" w:eastAsia="Arial" w:hAnsi="Arial" w:cs="Arial"/>
          <w:sz w:val="22"/>
          <w:szCs w:val="22"/>
        </w:rPr>
      </w:pPr>
      <w:r>
        <w:rPr>
          <w:rFonts w:ascii="Arial" w:eastAsia="Arial" w:hAnsi="Arial" w:cs="Arial"/>
          <w:sz w:val="16"/>
          <w:szCs w:val="16"/>
        </w:rPr>
        <w:t>Rožu iela 6, Liepāja, LV-3401, reģ.nr. 40008325039, tālr. +371 20 272 277, birojs@liepaja2027.lv, www.liepaja2027.lv</w:t>
      </w:r>
    </w:p>
    <w:p w14:paraId="32B5A870" w14:textId="77777777" w:rsidR="00910F46" w:rsidRDefault="00000000">
      <w:pPr>
        <w:spacing w:before="120" w:after="160"/>
        <w:ind w:hanging="2"/>
        <w:jc w:val="center"/>
        <w:rPr>
          <w:rFonts w:ascii="Arial" w:eastAsia="Arial" w:hAnsi="Arial" w:cs="Arial"/>
          <w:sz w:val="22"/>
          <w:szCs w:val="22"/>
        </w:rPr>
      </w:pPr>
      <w:r>
        <w:rPr>
          <w:rFonts w:ascii="Arial" w:eastAsia="Arial" w:hAnsi="Arial" w:cs="Arial"/>
          <w:sz w:val="22"/>
          <w:szCs w:val="22"/>
        </w:rPr>
        <w:t>Liepājā</w:t>
      </w:r>
    </w:p>
    <w:p w14:paraId="7E0B90AC" w14:textId="77777777" w:rsidR="00910F46" w:rsidRDefault="00910F46">
      <w:pPr>
        <w:spacing w:before="120" w:after="160"/>
        <w:ind w:hanging="2"/>
        <w:jc w:val="center"/>
        <w:rPr>
          <w:rFonts w:ascii="Arial" w:eastAsia="Arial" w:hAnsi="Arial" w:cs="Arial"/>
          <w:sz w:val="22"/>
          <w:szCs w:val="22"/>
        </w:rPr>
      </w:pPr>
    </w:p>
    <w:p w14:paraId="1CBA1B56" w14:textId="77777777" w:rsidR="00910F46" w:rsidRDefault="00000000">
      <w:pPr>
        <w:rPr>
          <w:rFonts w:ascii="Arial" w:eastAsia="Arial" w:hAnsi="Arial" w:cs="Arial"/>
          <w:sz w:val="22"/>
          <w:szCs w:val="22"/>
          <w:highlight w:val="white"/>
        </w:rPr>
      </w:pPr>
      <w:r>
        <w:rPr>
          <w:rFonts w:ascii="Arial" w:eastAsia="Arial" w:hAnsi="Arial" w:cs="Arial"/>
          <w:sz w:val="22"/>
          <w:szCs w:val="22"/>
        </w:rPr>
        <w:t>2025. gada 01. jūnijā</w:t>
      </w:r>
      <w:r>
        <w:rPr>
          <w:rFonts w:ascii="Arial" w:eastAsia="Arial" w:hAnsi="Arial" w:cs="Arial"/>
          <w:b/>
          <w:sz w:val="22"/>
          <w:szCs w:val="22"/>
          <w:highlight w:val="white"/>
        </w:rPr>
        <w:tab/>
      </w:r>
      <w:r>
        <w:rPr>
          <w:rFonts w:ascii="Arial" w:eastAsia="Arial" w:hAnsi="Arial" w:cs="Arial"/>
          <w:b/>
          <w:sz w:val="22"/>
          <w:szCs w:val="22"/>
          <w:highlight w:val="white"/>
        </w:rPr>
        <w:tab/>
        <w:t xml:space="preserve">                                          </w:t>
      </w:r>
      <w:r>
        <w:rPr>
          <w:rFonts w:ascii="Arial" w:eastAsia="Arial" w:hAnsi="Arial" w:cs="Arial"/>
          <w:b/>
          <w:sz w:val="22"/>
          <w:szCs w:val="22"/>
          <w:highlight w:val="white"/>
        </w:rPr>
        <w:tab/>
      </w:r>
      <w:r>
        <w:rPr>
          <w:rFonts w:ascii="Arial" w:eastAsia="Arial" w:hAnsi="Arial" w:cs="Arial"/>
          <w:b/>
          <w:sz w:val="22"/>
          <w:szCs w:val="22"/>
          <w:highlight w:val="white"/>
        </w:rPr>
        <w:tab/>
      </w:r>
      <w:r>
        <w:rPr>
          <w:rFonts w:ascii="Arial" w:eastAsia="Arial" w:hAnsi="Arial" w:cs="Arial"/>
          <w:b/>
          <w:sz w:val="22"/>
          <w:szCs w:val="22"/>
          <w:highlight w:val="white"/>
        </w:rPr>
        <w:tab/>
        <w:t xml:space="preserve">     NOLIKUMS NR. 2</w:t>
      </w:r>
    </w:p>
    <w:p w14:paraId="2AB767AB" w14:textId="77777777" w:rsidR="00910F46" w:rsidRDefault="00000000">
      <w:pPr>
        <w:jc w:val="right"/>
        <w:rPr>
          <w:rFonts w:ascii="Arial" w:eastAsia="Arial" w:hAnsi="Arial" w:cs="Arial"/>
          <w:sz w:val="22"/>
          <w:szCs w:val="22"/>
          <w:highlight w:val="white"/>
        </w:rPr>
      </w:pPr>
      <w:r>
        <w:rPr>
          <w:rFonts w:ascii="Arial" w:eastAsia="Arial" w:hAnsi="Arial" w:cs="Arial"/>
          <w:sz w:val="22"/>
          <w:szCs w:val="22"/>
          <w:highlight w:val="white"/>
        </w:rPr>
        <w:t xml:space="preserve">Apstiprināti nodibinājums </w:t>
      </w:r>
      <w:r>
        <w:rPr>
          <w:rFonts w:ascii="Arial" w:eastAsia="Arial" w:hAnsi="Arial" w:cs="Arial"/>
          <w:sz w:val="22"/>
          <w:szCs w:val="22"/>
          <w:highlight w:val="white"/>
        </w:rPr>
        <w:br/>
        <w:t xml:space="preserve">“Nodibinājums Liepāja 2027” </w:t>
      </w:r>
    </w:p>
    <w:p w14:paraId="5910D227" w14:textId="77777777" w:rsidR="00910F46" w:rsidRDefault="00000000">
      <w:pPr>
        <w:jc w:val="right"/>
        <w:rPr>
          <w:rFonts w:ascii="Arial" w:eastAsia="Arial" w:hAnsi="Arial" w:cs="Arial"/>
          <w:sz w:val="22"/>
          <w:szCs w:val="22"/>
          <w:highlight w:val="white"/>
        </w:rPr>
      </w:pPr>
      <w:r>
        <w:rPr>
          <w:rFonts w:ascii="Arial" w:eastAsia="Arial" w:hAnsi="Arial" w:cs="Arial"/>
          <w:sz w:val="22"/>
          <w:szCs w:val="22"/>
          <w:highlight w:val="white"/>
        </w:rPr>
        <w:t>2025.gada 01. jūnija valdes sēdē</w:t>
      </w:r>
    </w:p>
    <w:p w14:paraId="755B037F" w14:textId="77777777" w:rsidR="00910F46" w:rsidRDefault="00000000">
      <w:pPr>
        <w:spacing w:line="360" w:lineRule="auto"/>
        <w:jc w:val="right"/>
        <w:rPr>
          <w:rFonts w:ascii="Arial" w:eastAsia="Arial" w:hAnsi="Arial" w:cs="Arial"/>
          <w:sz w:val="22"/>
          <w:szCs w:val="22"/>
        </w:rPr>
      </w:pPr>
      <w:r>
        <w:rPr>
          <w:rFonts w:ascii="Arial" w:eastAsia="Arial" w:hAnsi="Arial" w:cs="Arial"/>
          <w:sz w:val="22"/>
          <w:szCs w:val="22"/>
        </w:rPr>
        <w:t>(protokols Nr. 1.3/22)</w:t>
      </w:r>
    </w:p>
    <w:p w14:paraId="3FA21D77" w14:textId="77777777" w:rsidR="00910F46" w:rsidRDefault="00910F46">
      <w:pPr>
        <w:spacing w:line="360" w:lineRule="auto"/>
        <w:jc w:val="center"/>
        <w:rPr>
          <w:rFonts w:ascii="Arial" w:eastAsia="Arial" w:hAnsi="Arial" w:cs="Arial"/>
          <w:b/>
          <w:sz w:val="22"/>
          <w:szCs w:val="22"/>
        </w:rPr>
      </w:pPr>
    </w:p>
    <w:p w14:paraId="495141A9" w14:textId="77777777" w:rsidR="00910F46" w:rsidRDefault="00000000">
      <w:pPr>
        <w:spacing w:line="360" w:lineRule="auto"/>
        <w:jc w:val="center"/>
        <w:rPr>
          <w:rFonts w:ascii="Arial" w:eastAsia="Arial" w:hAnsi="Arial" w:cs="Arial"/>
          <w:b/>
          <w:sz w:val="22"/>
          <w:szCs w:val="22"/>
        </w:rPr>
      </w:pPr>
      <w:r>
        <w:rPr>
          <w:rFonts w:ascii="Arial" w:eastAsia="Arial" w:hAnsi="Arial" w:cs="Arial"/>
          <w:b/>
          <w:sz w:val="22"/>
          <w:szCs w:val="22"/>
        </w:rPr>
        <w:t xml:space="preserve">LIEPĀJA 2027 STARPTAUTISKO KULTŪRAS PROJEKTU </w:t>
      </w:r>
      <w:r>
        <w:rPr>
          <w:rFonts w:ascii="Arial" w:eastAsia="Arial" w:hAnsi="Arial" w:cs="Arial"/>
          <w:b/>
          <w:sz w:val="22"/>
          <w:szCs w:val="22"/>
        </w:rPr>
        <w:br/>
        <w:t>LĪDZFINANSĒJUMA KONKURSA NOLIKUMS</w:t>
      </w:r>
    </w:p>
    <w:p w14:paraId="4D50CBA8" w14:textId="77777777" w:rsidR="00910F46" w:rsidRDefault="00910F46">
      <w:pPr>
        <w:spacing w:line="360" w:lineRule="auto"/>
        <w:jc w:val="center"/>
        <w:rPr>
          <w:rFonts w:ascii="Arial" w:eastAsia="Arial" w:hAnsi="Arial" w:cs="Arial"/>
          <w:sz w:val="22"/>
          <w:szCs w:val="22"/>
        </w:rPr>
      </w:pPr>
    </w:p>
    <w:p w14:paraId="2FA1CF03" w14:textId="77777777" w:rsidR="00910F46" w:rsidRDefault="00000000">
      <w:pPr>
        <w:spacing w:line="360" w:lineRule="auto"/>
        <w:jc w:val="center"/>
        <w:rPr>
          <w:rFonts w:ascii="Arial" w:eastAsia="Arial" w:hAnsi="Arial" w:cs="Arial"/>
          <w:sz w:val="22"/>
          <w:szCs w:val="22"/>
        </w:rPr>
      </w:pPr>
      <w:r>
        <w:rPr>
          <w:rFonts w:ascii="Arial" w:eastAsia="Arial" w:hAnsi="Arial" w:cs="Arial"/>
          <w:b/>
          <w:sz w:val="22"/>
          <w:szCs w:val="22"/>
        </w:rPr>
        <w:t>I. Vispārīgie jautājumi</w:t>
      </w:r>
    </w:p>
    <w:p w14:paraId="6D8F7DE7" w14:textId="77777777" w:rsidR="00910F46" w:rsidRDefault="00000000">
      <w:pPr>
        <w:spacing w:line="360" w:lineRule="auto"/>
        <w:ind w:left="270" w:hanging="270"/>
        <w:jc w:val="both"/>
        <w:rPr>
          <w:rFonts w:ascii="Arial" w:eastAsia="Arial" w:hAnsi="Arial" w:cs="Arial"/>
          <w:b/>
          <w:sz w:val="22"/>
          <w:szCs w:val="22"/>
        </w:rPr>
      </w:pPr>
      <w:r>
        <w:rPr>
          <w:rFonts w:ascii="Arial" w:eastAsia="Arial" w:hAnsi="Arial" w:cs="Arial"/>
          <w:sz w:val="22"/>
          <w:szCs w:val="22"/>
        </w:rPr>
        <w:t>1. Nolikums nosaka kārtību, kādā Nodibinājums “Nodibinājums Liepāja 2027”,</w:t>
      </w:r>
      <w:r>
        <w:rPr>
          <w:rFonts w:ascii="Arial" w:eastAsia="Arial" w:hAnsi="Arial" w:cs="Arial"/>
          <w:b/>
          <w:sz w:val="22"/>
          <w:szCs w:val="22"/>
        </w:rPr>
        <w:t xml:space="preserve"> </w:t>
      </w:r>
      <w:r>
        <w:rPr>
          <w:rFonts w:ascii="Arial" w:eastAsia="Arial" w:hAnsi="Arial" w:cs="Arial"/>
          <w:sz w:val="22"/>
          <w:szCs w:val="22"/>
        </w:rPr>
        <w:t xml:space="preserve">reģ.nr.40008325039, Rožu iela 6, Liepāja (turpmāk – Nodibinājums) konkursa kārtībā piešķir naudas līdzekļus (turpmāk – līdzfinansējums) starptautisku kultūras un mākslas pasākumu īstenošanai “Liepāja 2027 - Eiropas kultūras galvaspilsēta” projektu kopumos Liepājas </w:t>
      </w:r>
      <w:proofErr w:type="spellStart"/>
      <w:r>
        <w:rPr>
          <w:rFonts w:ascii="Arial" w:eastAsia="Arial" w:hAnsi="Arial" w:cs="Arial"/>
          <w:sz w:val="22"/>
          <w:szCs w:val="22"/>
        </w:rPr>
        <w:t>valstspilsētas</w:t>
      </w:r>
      <w:proofErr w:type="spellEnd"/>
      <w:r>
        <w:rPr>
          <w:rFonts w:ascii="Arial" w:eastAsia="Arial" w:hAnsi="Arial" w:cs="Arial"/>
          <w:sz w:val="22"/>
          <w:szCs w:val="22"/>
        </w:rPr>
        <w:t xml:space="preserve">, </w:t>
      </w:r>
      <w:proofErr w:type="spellStart"/>
      <w:r>
        <w:rPr>
          <w:rFonts w:ascii="Arial" w:eastAsia="Arial" w:hAnsi="Arial" w:cs="Arial"/>
          <w:sz w:val="22"/>
          <w:szCs w:val="22"/>
        </w:rPr>
        <w:t>Dienvidkurzemes</w:t>
      </w:r>
      <w:proofErr w:type="spellEnd"/>
      <w:r>
        <w:rPr>
          <w:rFonts w:ascii="Arial" w:eastAsia="Arial" w:hAnsi="Arial" w:cs="Arial"/>
          <w:sz w:val="22"/>
          <w:szCs w:val="22"/>
        </w:rPr>
        <w:t xml:space="preserve"> un Kuldīgas novadu administratīvajās teritorijās, ar iespējamiem </w:t>
      </w:r>
      <w:proofErr w:type="spellStart"/>
      <w:r>
        <w:rPr>
          <w:rFonts w:ascii="Arial" w:eastAsia="Arial" w:hAnsi="Arial" w:cs="Arial"/>
          <w:sz w:val="22"/>
          <w:szCs w:val="22"/>
        </w:rPr>
        <w:t>ievadpasākumiem</w:t>
      </w:r>
      <w:proofErr w:type="spellEnd"/>
      <w:r>
        <w:rPr>
          <w:rFonts w:ascii="Arial" w:eastAsia="Arial" w:hAnsi="Arial" w:cs="Arial"/>
          <w:sz w:val="22"/>
          <w:szCs w:val="22"/>
        </w:rPr>
        <w:t xml:space="preserve"> visā Latvijas teritorijā (turpmāk – Pasākums).</w:t>
      </w:r>
    </w:p>
    <w:p w14:paraId="34DE02A0" w14:textId="77777777" w:rsidR="00910F46" w:rsidRDefault="00000000">
      <w:pPr>
        <w:spacing w:line="360" w:lineRule="auto"/>
        <w:ind w:left="270" w:hanging="270"/>
        <w:jc w:val="both"/>
        <w:rPr>
          <w:rFonts w:ascii="Arial" w:eastAsia="Arial" w:hAnsi="Arial" w:cs="Arial"/>
          <w:sz w:val="22"/>
          <w:szCs w:val="22"/>
        </w:rPr>
      </w:pPr>
      <w:r>
        <w:rPr>
          <w:rFonts w:ascii="Arial" w:eastAsia="Arial" w:hAnsi="Arial" w:cs="Arial"/>
          <w:sz w:val="22"/>
          <w:szCs w:val="22"/>
        </w:rPr>
        <w:t xml:space="preserve">2. Konkursa mērķis ir papildināt “Liepāja 2027 - Eiropas kultūras galvaspilsēta” programmu ar starptautiski izciliem un inovatīviem laikmetīgās mākslas starpdisciplināriem dažādu žanru notikumiem. Šī mērķa īstenošanai tiek līdzfinansēti projekti, kas ir inovatīvi saturā, radoši stimulējoši un izaicinoši attiecībā uz jauniem formātiem, veicinot daudzveidīgu kultūras piedāvājumu, un atbilst vadlīnijām, kas ir Nolikuma 2.pielikumā. Tiks atbalstīti Pasākumi, kuros tiek īstenota starptautiska sadarbība un piesaistīta starptautiska auditorija, ievērojot </w:t>
      </w:r>
      <w:proofErr w:type="spellStart"/>
      <w:r>
        <w:rPr>
          <w:rFonts w:ascii="Arial" w:eastAsia="Arial" w:hAnsi="Arial" w:cs="Arial"/>
          <w:sz w:val="22"/>
          <w:szCs w:val="22"/>
        </w:rPr>
        <w:t>ekodizaina</w:t>
      </w:r>
      <w:proofErr w:type="spellEnd"/>
      <w:r>
        <w:rPr>
          <w:rFonts w:ascii="Arial" w:eastAsia="Arial" w:hAnsi="Arial" w:cs="Arial"/>
          <w:sz w:val="22"/>
          <w:szCs w:val="22"/>
        </w:rPr>
        <w:t xml:space="preserve"> vadlīnijas</w:t>
      </w:r>
      <w:r>
        <w:rPr>
          <w:rFonts w:ascii="Arial" w:eastAsia="Arial" w:hAnsi="Arial" w:cs="Arial"/>
          <w:sz w:val="22"/>
          <w:szCs w:val="22"/>
          <w:vertAlign w:val="superscript"/>
        </w:rPr>
        <w:footnoteReference w:id="1"/>
      </w:r>
      <w:r>
        <w:rPr>
          <w:rFonts w:ascii="Arial" w:eastAsia="Arial" w:hAnsi="Arial" w:cs="Arial"/>
          <w:sz w:val="22"/>
          <w:szCs w:val="22"/>
        </w:rPr>
        <w:t>, pielietojot videi draudzīgas kultūras pārvaldības prakses</w:t>
      </w:r>
      <w:r>
        <w:rPr>
          <w:rFonts w:ascii="Arial" w:eastAsia="Arial" w:hAnsi="Arial" w:cs="Arial"/>
          <w:sz w:val="22"/>
          <w:szCs w:val="22"/>
          <w:vertAlign w:val="superscript"/>
        </w:rPr>
        <w:footnoteReference w:id="2"/>
      </w:r>
      <w:r>
        <w:rPr>
          <w:rFonts w:ascii="Arial" w:eastAsia="Arial" w:hAnsi="Arial" w:cs="Arial"/>
          <w:sz w:val="22"/>
          <w:szCs w:val="22"/>
        </w:rPr>
        <w:t xml:space="preserve">, nodrošinot </w:t>
      </w:r>
      <w:proofErr w:type="spellStart"/>
      <w:r>
        <w:rPr>
          <w:rFonts w:ascii="Arial" w:eastAsia="Arial" w:hAnsi="Arial" w:cs="Arial"/>
          <w:sz w:val="22"/>
          <w:szCs w:val="22"/>
        </w:rPr>
        <w:t>piekļūstamību</w:t>
      </w:r>
      <w:proofErr w:type="spellEnd"/>
      <w:r>
        <w:rPr>
          <w:rFonts w:ascii="Arial" w:eastAsia="Arial" w:hAnsi="Arial" w:cs="Arial"/>
          <w:sz w:val="22"/>
          <w:szCs w:val="22"/>
        </w:rPr>
        <w:t xml:space="preserve"> un pieejamību dažādām auditorijām, atbilstību Eiropas Savienības pamatvērtībām. Kopējais pieejamais līdzfinansējuma apmērs visām programmām šī konkursa ietvaros ir 640 000 EUR. </w:t>
      </w:r>
    </w:p>
    <w:p w14:paraId="441789C5" w14:textId="77777777" w:rsidR="00910F46" w:rsidRDefault="00000000">
      <w:pPr>
        <w:spacing w:line="360" w:lineRule="auto"/>
        <w:ind w:left="270" w:hanging="270"/>
        <w:jc w:val="both"/>
        <w:rPr>
          <w:rFonts w:ascii="Arial" w:eastAsia="Arial" w:hAnsi="Arial" w:cs="Arial"/>
          <w:sz w:val="22"/>
          <w:szCs w:val="22"/>
        </w:rPr>
      </w:pPr>
      <w:r>
        <w:rPr>
          <w:rFonts w:ascii="Arial" w:eastAsia="Arial" w:hAnsi="Arial" w:cs="Arial"/>
          <w:sz w:val="22"/>
          <w:szCs w:val="22"/>
        </w:rPr>
        <w:lastRenderedPageBreak/>
        <w:t>3. Uz līdzfinansējumu ir tiesīgas pretendēt Eiropas Ekonomiskās zonas dalībvalstīs reģistrētas juridiskās personas, tajā skaitā privāto vai publisko tiesību juridiskās personas, vai saimnieciskās darbības veicēji (turpmāk – pretendents). Pretendents ir tiesīgs iesniegt pieteikumus par vairākiem Pasākumiem, un to skaits nav ierobežots.</w:t>
      </w:r>
    </w:p>
    <w:p w14:paraId="560D15A5" w14:textId="77777777" w:rsidR="00910F46" w:rsidRDefault="00000000">
      <w:pPr>
        <w:spacing w:line="360" w:lineRule="auto"/>
        <w:ind w:left="270" w:hanging="270"/>
        <w:jc w:val="both"/>
        <w:rPr>
          <w:rFonts w:ascii="Arial" w:eastAsia="Arial" w:hAnsi="Arial" w:cs="Arial"/>
          <w:sz w:val="22"/>
          <w:szCs w:val="22"/>
        </w:rPr>
      </w:pPr>
      <w:r>
        <w:rPr>
          <w:rFonts w:ascii="Arial" w:eastAsia="Arial" w:hAnsi="Arial" w:cs="Arial"/>
          <w:sz w:val="22"/>
          <w:szCs w:val="22"/>
        </w:rPr>
        <w:t xml:space="preserve">4. Pieteikumu iesniegšanas termiņš ir </w:t>
      </w:r>
      <w:r>
        <w:rPr>
          <w:rFonts w:ascii="Arial" w:eastAsia="Arial" w:hAnsi="Arial" w:cs="Arial"/>
          <w:b/>
          <w:sz w:val="22"/>
          <w:szCs w:val="22"/>
        </w:rPr>
        <w:t>2025. gada 10.septembra plkst. 10:00.</w:t>
      </w:r>
      <w:r>
        <w:rPr>
          <w:rFonts w:ascii="Arial" w:eastAsia="Arial" w:hAnsi="Arial" w:cs="Arial"/>
          <w:sz w:val="22"/>
          <w:szCs w:val="22"/>
        </w:rPr>
        <w:t xml:space="preserve"> </w:t>
      </w:r>
    </w:p>
    <w:p w14:paraId="4F0434EE" w14:textId="77777777" w:rsidR="00910F46" w:rsidRDefault="00000000">
      <w:pPr>
        <w:spacing w:line="360" w:lineRule="auto"/>
        <w:ind w:left="270" w:hanging="270"/>
        <w:jc w:val="both"/>
        <w:rPr>
          <w:rFonts w:ascii="Arial" w:eastAsia="Arial" w:hAnsi="Arial" w:cs="Arial"/>
          <w:sz w:val="22"/>
          <w:szCs w:val="22"/>
        </w:rPr>
      </w:pPr>
      <w:r>
        <w:rPr>
          <w:rFonts w:ascii="Arial" w:eastAsia="Arial" w:hAnsi="Arial" w:cs="Arial"/>
          <w:sz w:val="22"/>
          <w:szCs w:val="22"/>
        </w:rPr>
        <w:t xml:space="preserve">5. Līdzfinansējums nav kvalificējams kā komercdarbības atbalsts Komercdarbības atbalsta kontroles likuma izpratnē. Pasākumam ir jābūt pieejamam bez maksas vai ieņēmumi no Pasākuma pakalpojumiem (dalības maksa, biļešu tirdzniecība u.tml.) nedrīkst segt vairāk kā 50 % no Pasākuma faktiskajām izmaksām. </w:t>
      </w:r>
    </w:p>
    <w:p w14:paraId="6F6F6E11" w14:textId="77777777" w:rsidR="00910F46" w:rsidRDefault="00000000">
      <w:pPr>
        <w:spacing w:line="360" w:lineRule="auto"/>
        <w:ind w:left="270" w:hanging="270"/>
        <w:jc w:val="both"/>
        <w:rPr>
          <w:rFonts w:ascii="Arial" w:eastAsia="Arial" w:hAnsi="Arial" w:cs="Arial"/>
          <w:sz w:val="22"/>
          <w:szCs w:val="22"/>
        </w:rPr>
      </w:pPr>
      <w:r>
        <w:rPr>
          <w:rFonts w:ascii="Arial" w:eastAsia="Arial" w:hAnsi="Arial" w:cs="Arial"/>
          <w:sz w:val="22"/>
          <w:szCs w:val="22"/>
        </w:rPr>
        <w:t xml:space="preserve">6. Konkursu organizē un Nolikuma izpildi nodrošina Nodibinājums. </w:t>
      </w:r>
    </w:p>
    <w:p w14:paraId="20DE79B0" w14:textId="77777777" w:rsidR="00910F46" w:rsidRDefault="00000000">
      <w:pPr>
        <w:spacing w:line="360" w:lineRule="auto"/>
        <w:ind w:left="270" w:hanging="270"/>
        <w:jc w:val="both"/>
        <w:rPr>
          <w:rFonts w:ascii="Arial" w:eastAsia="Arial" w:hAnsi="Arial" w:cs="Arial"/>
          <w:sz w:val="22"/>
          <w:szCs w:val="22"/>
        </w:rPr>
      </w:pPr>
      <w:r>
        <w:rPr>
          <w:rFonts w:ascii="Arial" w:eastAsia="Arial" w:hAnsi="Arial" w:cs="Arial"/>
          <w:sz w:val="22"/>
          <w:szCs w:val="22"/>
        </w:rPr>
        <w:t xml:space="preserve">7. Paziņojums par Konkursa izsludināšanu (turpmāk – Paziņojums) un rezultātiem tiek publicēts tīmekļvietnē </w:t>
      </w:r>
      <w:hyperlink r:id="rId9">
        <w:r>
          <w:rPr>
            <w:rFonts w:ascii="Arial" w:eastAsia="Arial" w:hAnsi="Arial" w:cs="Arial"/>
            <w:color w:val="000000"/>
            <w:sz w:val="22"/>
            <w:szCs w:val="22"/>
          </w:rPr>
          <w:t>www.liepaja2027.lv</w:t>
        </w:r>
      </w:hyperlink>
      <w:r>
        <w:rPr>
          <w:rFonts w:ascii="Arial" w:eastAsia="Arial" w:hAnsi="Arial" w:cs="Arial"/>
          <w:sz w:val="22"/>
          <w:szCs w:val="22"/>
        </w:rPr>
        <w:t>.</w:t>
      </w:r>
    </w:p>
    <w:p w14:paraId="11EF23FD" w14:textId="77777777" w:rsidR="00910F46" w:rsidRDefault="00910F46">
      <w:pPr>
        <w:spacing w:line="360" w:lineRule="auto"/>
        <w:jc w:val="both"/>
        <w:rPr>
          <w:rFonts w:ascii="Arial" w:eastAsia="Arial" w:hAnsi="Arial" w:cs="Arial"/>
          <w:sz w:val="22"/>
          <w:szCs w:val="22"/>
          <w:highlight w:val="yellow"/>
        </w:rPr>
      </w:pPr>
    </w:p>
    <w:p w14:paraId="1E446C97" w14:textId="77777777" w:rsidR="00910F46" w:rsidRDefault="00000000">
      <w:pPr>
        <w:spacing w:line="360" w:lineRule="auto"/>
        <w:jc w:val="center"/>
        <w:rPr>
          <w:rFonts w:ascii="Arial" w:eastAsia="Arial" w:hAnsi="Arial" w:cs="Arial"/>
          <w:b/>
          <w:sz w:val="22"/>
          <w:szCs w:val="22"/>
        </w:rPr>
      </w:pPr>
      <w:r>
        <w:rPr>
          <w:rFonts w:ascii="Arial" w:eastAsia="Arial" w:hAnsi="Arial" w:cs="Arial"/>
          <w:b/>
          <w:sz w:val="22"/>
          <w:szCs w:val="22"/>
        </w:rPr>
        <w:t>II. Līdzfinansējuma piešķiršanas nosacījumi un veidi</w:t>
      </w:r>
    </w:p>
    <w:p w14:paraId="4206A1DD" w14:textId="77777777" w:rsidR="00910F46" w:rsidRDefault="00000000">
      <w:pPr>
        <w:spacing w:line="360" w:lineRule="auto"/>
        <w:ind w:left="360" w:hanging="360"/>
        <w:rPr>
          <w:rFonts w:ascii="Arial" w:eastAsia="Arial" w:hAnsi="Arial" w:cs="Arial"/>
          <w:sz w:val="22"/>
          <w:szCs w:val="22"/>
        </w:rPr>
      </w:pPr>
      <w:r>
        <w:rPr>
          <w:rFonts w:ascii="Arial" w:eastAsia="Arial" w:hAnsi="Arial" w:cs="Arial"/>
          <w:sz w:val="22"/>
          <w:szCs w:val="22"/>
        </w:rPr>
        <w:t>8. Pretendentu izslēgšanas nosacījumi ir sekojoši:</w:t>
      </w:r>
    </w:p>
    <w:p w14:paraId="137C804B"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 xml:space="preserve">8.1. Pretendentam uz pieteikuma iesniegšanas un finansēšanas līguma slēgšanas brīdi nav nodokļu un citu valsts vai pašvaldību noteikto obligāto maksājumu parāda, kas pārsniedz 150 </w:t>
      </w:r>
      <w:proofErr w:type="spellStart"/>
      <w:r>
        <w:rPr>
          <w:rFonts w:ascii="Arial" w:eastAsia="Arial" w:hAnsi="Arial" w:cs="Arial"/>
          <w:i/>
          <w:sz w:val="22"/>
          <w:szCs w:val="22"/>
        </w:rPr>
        <w:t>euro</w:t>
      </w:r>
      <w:proofErr w:type="spellEnd"/>
      <w:r>
        <w:rPr>
          <w:rFonts w:ascii="Arial" w:eastAsia="Arial" w:hAnsi="Arial" w:cs="Arial"/>
          <w:sz w:val="22"/>
          <w:szCs w:val="22"/>
        </w:rPr>
        <w:t>;</w:t>
      </w:r>
    </w:p>
    <w:p w14:paraId="2A526B07"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8.2. Pretendents, kas ir juridiska persona, ir reģistrēts kādā no Eiropas Ekonomiskās zonas dalībvalstīm ne vēlāk kā 36 mēnešus pirms pieteikuma iesniegšanas dienas un savas darbības laikā īstenojis līdzīga apjoma un sarežģītības projektus.</w:t>
      </w:r>
    </w:p>
    <w:p w14:paraId="36E0C4B5"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 xml:space="preserve">8.3. Pretendentam nav pasludināts maksātnespējas process, netiek īstenots tiesiskās aizsardzības process, netiek īstenots </w:t>
      </w:r>
      <w:proofErr w:type="spellStart"/>
      <w:r>
        <w:rPr>
          <w:rFonts w:ascii="Arial" w:eastAsia="Arial" w:hAnsi="Arial" w:cs="Arial"/>
          <w:sz w:val="22"/>
          <w:szCs w:val="22"/>
        </w:rPr>
        <w:t>ārpustiesas</w:t>
      </w:r>
      <w:proofErr w:type="spellEnd"/>
      <w:r>
        <w:rPr>
          <w:rFonts w:ascii="Arial" w:eastAsia="Arial" w:hAnsi="Arial" w:cs="Arial"/>
          <w:sz w:val="22"/>
          <w:szCs w:val="22"/>
        </w:rPr>
        <w:t xml:space="preserve"> tiesiskās aizsardzības process, nav uzsākta bankrota procedūra, nav piemērota sanācija vai mierizlīgums, tas netiek apsūdzēts naudas atmazgāšanā un sankciju pārkāpšanas regulējuma neievērošanā, tā saimnieciskā darbība nav izbeigta vai apturēta un/vai tas neatbilst valsts tiesību aktos noteiktajiem kritērijiem, lai tam pēc kreditoru pieprasījuma piemērotu maksātnespējas procedūru, Nodibinājums nav pieņēmis lēmumu atturēties no darījuma attiecību nodibināšanas ar Pretendentu saistībā ar aizdomām par Pretendenta vai tā patiesā labuma guvēju saistību (sadarbību) ar sankciju režīmam pakļautu jurisdikciju vai citiem konstatētiem apstākļiem, kas saistīti ar sankcijām, noziedzīgi iegūtiem līdzekļiem, naudas “atmazgāšanu”, terorisma vai </w:t>
      </w:r>
      <w:proofErr w:type="spellStart"/>
      <w:r>
        <w:rPr>
          <w:rFonts w:ascii="Arial" w:eastAsia="Arial" w:hAnsi="Arial" w:cs="Arial"/>
          <w:sz w:val="22"/>
          <w:szCs w:val="22"/>
        </w:rPr>
        <w:t>proliferācijas</w:t>
      </w:r>
      <w:proofErr w:type="spellEnd"/>
      <w:r>
        <w:rPr>
          <w:rFonts w:ascii="Arial" w:eastAsia="Arial" w:hAnsi="Arial" w:cs="Arial"/>
          <w:sz w:val="22"/>
          <w:szCs w:val="22"/>
        </w:rPr>
        <w:t xml:space="preserve"> finansēšanu, korupciju, reputāciju, kuras dēļ pastāv risks zaudēt sabiedrības uzticību;</w:t>
      </w:r>
    </w:p>
    <w:p w14:paraId="67E7336F"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8.4. Pretendenta pieteikums ir sagatavots un iesniegts Paziņojumā par konkursa izsludināšanu norādītajā termiņā un noformēts atbilstoši Nolikumā noteiktajai kārtībai.</w:t>
      </w:r>
    </w:p>
    <w:p w14:paraId="2BAD27CE" w14:textId="77777777" w:rsidR="00910F46" w:rsidRDefault="00000000">
      <w:pPr>
        <w:spacing w:line="360" w:lineRule="auto"/>
        <w:ind w:left="360" w:hanging="360"/>
        <w:rPr>
          <w:rFonts w:ascii="Arial" w:eastAsia="Arial" w:hAnsi="Arial" w:cs="Arial"/>
          <w:sz w:val="22"/>
          <w:szCs w:val="22"/>
        </w:rPr>
      </w:pPr>
      <w:r>
        <w:rPr>
          <w:rFonts w:ascii="Arial" w:eastAsia="Arial" w:hAnsi="Arial" w:cs="Arial"/>
          <w:sz w:val="22"/>
          <w:szCs w:val="22"/>
        </w:rPr>
        <w:lastRenderedPageBreak/>
        <w:t>8.5. Pasākums ir pieejams bez maksas vai ieņēmumi no Pasākuma pakalpojumiem (dalības maksas, biļešu tirdzniecības u.c.) sedz mazāk kā 50 % no Pasākuma faktiskajām izmaksām.</w:t>
      </w:r>
    </w:p>
    <w:p w14:paraId="2CDCD4B1"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8.6. Pasākuma sagatavošana tiks uzsākta 2026.gadā un Pasākums galvenokārt norisināsies (būs pieejams publikai) 2027.gadā. Nodibinājums patur tiesības kopējās programmas kontekstā precizēt un mainīt atbalstītā Pasākuma norises vietu un laiku.</w:t>
      </w:r>
    </w:p>
    <w:p w14:paraId="2ED84F63"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9. Ja Komisija, izskatot pretendenta pieteikumu, konstatē, ka pretendents neatbilst vai nav izpildījis izslēgšanas nosacījumu prasības, Komisija pieņem lēmumu par pieteikuma atstāšanu bez izskatīšanas.</w:t>
      </w:r>
    </w:p>
    <w:p w14:paraId="3B6A4E93"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10. Izskatot pieteikumu pēc būtības, Komisija pieņem lēmumu par līdzfinansējuma piešķiršanu un tā apmēru vai atteikumu piešķirt līdzfinansējumu, norādot pamatojumu.</w:t>
      </w:r>
    </w:p>
    <w:p w14:paraId="78552D6C" w14:textId="77777777" w:rsidR="00910F46" w:rsidRDefault="00000000">
      <w:pPr>
        <w:spacing w:line="360" w:lineRule="auto"/>
        <w:ind w:left="360" w:hanging="360"/>
        <w:rPr>
          <w:rFonts w:ascii="Arial" w:eastAsia="Arial" w:hAnsi="Arial" w:cs="Arial"/>
          <w:sz w:val="22"/>
          <w:szCs w:val="22"/>
        </w:rPr>
      </w:pPr>
      <w:r>
        <w:rPr>
          <w:rFonts w:ascii="Arial" w:eastAsia="Arial" w:hAnsi="Arial" w:cs="Arial"/>
          <w:sz w:val="22"/>
          <w:szCs w:val="22"/>
        </w:rPr>
        <w:t>11. Konkursā pieteikumi var tikt iesniegti šādām programmām un līdzfinansējuma apmēriem:</w:t>
      </w:r>
    </w:p>
    <w:p w14:paraId="76BC8822"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 xml:space="preserve">11.1. Starpdisciplināra laikmetīgās mākslas programma “Mainīgie apvāršņi” pieteikums līdzfinansējumam līdz 50 000 EUR vai pieteikums līdzfinansējumam līdz 100 000 EUR. Pretendents var pieteikties tam projektu veidam, kas vislabāk atbilst viņa ieceres mērogam un vajadzībām; </w:t>
      </w:r>
    </w:p>
    <w:p w14:paraId="39BF82F4"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11.2. Fotogrāfijas notikumu cikls “Attēlu pasaule” pieteikums līdzfinansējumam līdz 25 000 EUR vai pieteikums līdzfinansējumam līdz 50 000 EUR. Pretendents var pieteikties tam projektu veidam, kas vislabāk atbilst viņa ieceres mērogam un vajadzībām;</w:t>
      </w:r>
    </w:p>
    <w:p w14:paraId="030F9533" w14:textId="77777777" w:rsidR="00910F46" w:rsidRDefault="00000000">
      <w:pPr>
        <w:pBdr>
          <w:top w:val="nil"/>
          <w:left w:val="nil"/>
          <w:bottom w:val="nil"/>
          <w:right w:val="nil"/>
          <w:between w:val="nil"/>
        </w:pBdr>
        <w:spacing w:line="360" w:lineRule="auto"/>
        <w:ind w:left="360" w:hanging="360"/>
        <w:jc w:val="both"/>
        <w:rPr>
          <w:rFonts w:ascii="Arial" w:eastAsia="Arial" w:hAnsi="Arial" w:cs="Arial"/>
          <w:color w:val="000000"/>
          <w:sz w:val="22"/>
          <w:szCs w:val="22"/>
        </w:rPr>
      </w:pPr>
      <w:r>
        <w:rPr>
          <w:rFonts w:ascii="Arial" w:eastAsia="Arial" w:hAnsi="Arial" w:cs="Arial"/>
          <w:color w:val="000000"/>
          <w:sz w:val="22"/>
          <w:szCs w:val="22"/>
        </w:rPr>
        <w:t xml:space="preserve">11.3. </w:t>
      </w:r>
      <w:proofErr w:type="spellStart"/>
      <w:r>
        <w:rPr>
          <w:rFonts w:ascii="Arial" w:eastAsia="Arial" w:hAnsi="Arial" w:cs="Arial"/>
          <w:color w:val="000000"/>
          <w:sz w:val="22"/>
          <w:szCs w:val="22"/>
        </w:rPr>
        <w:t>Līdziesaistes</w:t>
      </w:r>
      <w:proofErr w:type="spellEnd"/>
      <w:r>
        <w:rPr>
          <w:rFonts w:ascii="Arial" w:eastAsia="Arial" w:hAnsi="Arial" w:cs="Arial"/>
          <w:color w:val="000000"/>
          <w:sz w:val="22"/>
          <w:szCs w:val="22"/>
        </w:rPr>
        <w:t xml:space="preserve"> skatuves mākslas programma “Karosta </w:t>
      </w:r>
      <w:proofErr w:type="spellStart"/>
      <w:r>
        <w:rPr>
          <w:rFonts w:ascii="Arial" w:eastAsia="Arial" w:hAnsi="Arial" w:cs="Arial"/>
          <w:color w:val="000000"/>
          <w:sz w:val="22"/>
          <w:szCs w:val="22"/>
        </w:rPr>
        <w:t>Radosta</w:t>
      </w:r>
      <w:proofErr w:type="spellEnd"/>
      <w:r>
        <w:rPr>
          <w:rFonts w:ascii="Arial" w:eastAsia="Arial" w:hAnsi="Arial" w:cs="Arial"/>
          <w:color w:val="000000"/>
          <w:sz w:val="22"/>
          <w:szCs w:val="22"/>
        </w:rPr>
        <w:t xml:space="preserve">” pieteikums līdzfinansējumam līdz 50 000 EUR vai pieteikums līdzfinansējumam līdz </w:t>
      </w:r>
      <w:r>
        <w:rPr>
          <w:rFonts w:ascii="Arial" w:eastAsia="Arial" w:hAnsi="Arial" w:cs="Arial"/>
          <w:sz w:val="22"/>
          <w:szCs w:val="22"/>
        </w:rPr>
        <w:t>2</w:t>
      </w:r>
      <w:r>
        <w:rPr>
          <w:rFonts w:ascii="Arial" w:eastAsia="Arial" w:hAnsi="Arial" w:cs="Arial"/>
          <w:color w:val="000000"/>
          <w:sz w:val="22"/>
          <w:szCs w:val="22"/>
        </w:rPr>
        <w:t>00 000 EUR. Pretendents var pieteikties tam projektu veidam, kas vislabāk atbilst viņa ieceres mērogam un vajadzībām;</w:t>
      </w:r>
    </w:p>
    <w:p w14:paraId="07DB6EBE" w14:textId="77777777" w:rsidR="00910F46" w:rsidRDefault="00000000">
      <w:pPr>
        <w:numPr>
          <w:ilvl w:val="1"/>
          <w:numId w:val="1"/>
        </w:numPr>
        <w:pBdr>
          <w:top w:val="nil"/>
          <w:left w:val="nil"/>
          <w:bottom w:val="nil"/>
          <w:right w:val="nil"/>
          <w:between w:val="nil"/>
        </w:pBdr>
        <w:spacing w:line="360" w:lineRule="auto"/>
        <w:ind w:left="360" w:hanging="360"/>
        <w:jc w:val="both"/>
        <w:rPr>
          <w:rFonts w:ascii="Arial" w:eastAsia="Arial" w:hAnsi="Arial" w:cs="Arial"/>
          <w:color w:val="000000"/>
          <w:sz w:val="22"/>
          <w:szCs w:val="22"/>
        </w:rPr>
      </w:pPr>
      <w:r>
        <w:rPr>
          <w:rFonts w:ascii="Arial" w:eastAsia="Arial" w:hAnsi="Arial" w:cs="Arial"/>
          <w:color w:val="000000"/>
          <w:sz w:val="22"/>
          <w:szCs w:val="22"/>
        </w:rPr>
        <w:t>Literatūras un mutvārdu kultūras programma “Bibliotēkas gars“ pieteikums līdzfinansējumam līdz 50 000 EUR;</w:t>
      </w:r>
    </w:p>
    <w:p w14:paraId="08341EC2"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11.5. Vides instalācijas vai digitāla pieredze vides izziņas programmā “Piedzīvojumu sala”</w:t>
      </w:r>
      <w:r>
        <w:rPr>
          <w:rFonts w:ascii="Arial" w:eastAsia="Arial" w:hAnsi="Arial" w:cs="Arial"/>
          <w:b/>
          <w:sz w:val="22"/>
          <w:szCs w:val="22"/>
        </w:rPr>
        <w:t xml:space="preserve"> </w:t>
      </w:r>
      <w:r>
        <w:rPr>
          <w:rFonts w:ascii="Arial" w:eastAsia="Arial" w:hAnsi="Arial" w:cs="Arial"/>
          <w:sz w:val="22"/>
          <w:szCs w:val="22"/>
        </w:rPr>
        <w:t>pieteikums līdzfinansējumam līdz 70 000 EUR ;</w:t>
      </w:r>
    </w:p>
    <w:p w14:paraId="528CB7A2" w14:textId="77777777" w:rsidR="00910F46" w:rsidRDefault="00000000">
      <w:pPr>
        <w:spacing w:line="360" w:lineRule="auto"/>
        <w:ind w:left="360" w:hanging="360"/>
        <w:jc w:val="both"/>
        <w:rPr>
          <w:rFonts w:ascii="Arial" w:eastAsia="Arial" w:hAnsi="Arial" w:cs="Arial"/>
          <w:b/>
          <w:sz w:val="22"/>
          <w:szCs w:val="22"/>
        </w:rPr>
      </w:pPr>
      <w:r>
        <w:rPr>
          <w:rFonts w:ascii="Arial" w:eastAsia="Arial" w:hAnsi="Arial" w:cs="Arial"/>
          <w:sz w:val="22"/>
          <w:szCs w:val="22"/>
        </w:rPr>
        <w:t xml:space="preserve">11.6. Vizuālā teātra attīstības programma “Atvērtais teātra kvartāls” pieteikums līdzfinansējumam līdz 50 000 EUR; </w:t>
      </w:r>
    </w:p>
    <w:p w14:paraId="7B6D9127" w14:textId="77777777" w:rsidR="00910F46" w:rsidRDefault="00000000">
      <w:pPr>
        <w:pBdr>
          <w:top w:val="nil"/>
          <w:left w:val="nil"/>
          <w:bottom w:val="nil"/>
          <w:right w:val="nil"/>
          <w:between w:val="nil"/>
        </w:pBdr>
        <w:spacing w:line="360" w:lineRule="auto"/>
        <w:ind w:left="360" w:hanging="360"/>
        <w:jc w:val="both"/>
        <w:rPr>
          <w:rFonts w:ascii="Arial" w:eastAsia="Arial" w:hAnsi="Arial" w:cs="Arial"/>
          <w:color w:val="000000"/>
          <w:sz w:val="22"/>
          <w:szCs w:val="22"/>
        </w:rPr>
      </w:pPr>
      <w:r>
        <w:rPr>
          <w:rFonts w:ascii="Arial" w:eastAsia="Arial" w:hAnsi="Arial" w:cs="Arial"/>
          <w:color w:val="000000"/>
          <w:sz w:val="22"/>
          <w:szCs w:val="22"/>
        </w:rPr>
        <w:t>11.7. Pasaules filmu programma “Kino sapnis” pieteikums līdzfinansējumam līdz 30 000 EUR;</w:t>
      </w:r>
    </w:p>
    <w:p w14:paraId="35666D2B" w14:textId="77777777" w:rsidR="00910F46" w:rsidRDefault="00000000">
      <w:pPr>
        <w:pBdr>
          <w:top w:val="nil"/>
          <w:left w:val="nil"/>
          <w:bottom w:val="nil"/>
          <w:right w:val="nil"/>
          <w:between w:val="nil"/>
        </w:pBdr>
        <w:spacing w:line="360" w:lineRule="auto"/>
        <w:ind w:left="360" w:hanging="360"/>
        <w:jc w:val="both"/>
        <w:rPr>
          <w:rFonts w:ascii="Arial" w:eastAsia="Arial" w:hAnsi="Arial" w:cs="Arial"/>
          <w:color w:val="000000"/>
          <w:sz w:val="22"/>
          <w:szCs w:val="22"/>
        </w:rPr>
      </w:pPr>
      <w:r>
        <w:rPr>
          <w:rFonts w:ascii="Arial" w:eastAsia="Arial" w:hAnsi="Arial" w:cs="Arial"/>
          <w:color w:val="000000"/>
          <w:sz w:val="22"/>
          <w:szCs w:val="22"/>
        </w:rPr>
        <w:t>11.8. Elektroniskās deju mūzikas notikums programmā “Ardievas smagajam metālam” pieteikums līdzfinansējumam līdz 30 000 EUR.</w:t>
      </w:r>
    </w:p>
    <w:p w14:paraId="3576E8F5"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lastRenderedPageBreak/>
        <w:t>12. Vienam Pasākumam var piešķirt līdzfinansējumu līdz atbilstoši konkrētajā programmā norādītajam maksimālajam atbalsta apmēram, nepārsniedzot 90 % no Pasākuma kopējās tāmes.</w:t>
      </w:r>
    </w:p>
    <w:p w14:paraId="2DD3CCC8" w14:textId="77777777" w:rsidR="00910F46" w:rsidRDefault="00000000">
      <w:pPr>
        <w:spacing w:line="360" w:lineRule="auto"/>
        <w:ind w:left="360" w:hanging="360"/>
        <w:rPr>
          <w:rFonts w:ascii="Arial" w:eastAsia="Arial" w:hAnsi="Arial" w:cs="Arial"/>
          <w:sz w:val="22"/>
          <w:szCs w:val="22"/>
        </w:rPr>
      </w:pPr>
      <w:r>
        <w:rPr>
          <w:rFonts w:ascii="Arial" w:eastAsia="Arial" w:hAnsi="Arial" w:cs="Arial"/>
          <w:sz w:val="22"/>
          <w:szCs w:val="22"/>
        </w:rPr>
        <w:t>13. Ar līdzfinansējumu atbalstāmās izmaksas:</w:t>
      </w:r>
    </w:p>
    <w:p w14:paraId="3163DCF7" w14:textId="77777777" w:rsidR="00910F46" w:rsidRDefault="00000000">
      <w:pPr>
        <w:spacing w:line="360" w:lineRule="auto"/>
        <w:ind w:left="360" w:hanging="360"/>
        <w:rPr>
          <w:rFonts w:ascii="Arial" w:eastAsia="Arial" w:hAnsi="Arial" w:cs="Arial"/>
          <w:sz w:val="22"/>
          <w:szCs w:val="22"/>
        </w:rPr>
      </w:pPr>
      <w:r>
        <w:rPr>
          <w:rFonts w:ascii="Arial" w:eastAsia="Arial" w:hAnsi="Arial" w:cs="Arial"/>
          <w:sz w:val="22"/>
          <w:szCs w:val="22"/>
        </w:rPr>
        <w:t>13.1. atlīdzība mākslinieciskajam, tehniskajam un administratīvajam personālam;</w:t>
      </w:r>
    </w:p>
    <w:p w14:paraId="5F20AE12" w14:textId="77777777" w:rsidR="00910F46" w:rsidRDefault="00000000">
      <w:pPr>
        <w:spacing w:line="360" w:lineRule="auto"/>
        <w:ind w:left="360" w:hanging="360"/>
        <w:rPr>
          <w:rFonts w:ascii="Arial" w:eastAsia="Arial" w:hAnsi="Arial" w:cs="Arial"/>
          <w:sz w:val="22"/>
          <w:szCs w:val="22"/>
        </w:rPr>
      </w:pPr>
      <w:r>
        <w:rPr>
          <w:rFonts w:ascii="Arial" w:eastAsia="Arial" w:hAnsi="Arial" w:cs="Arial"/>
          <w:sz w:val="22"/>
          <w:szCs w:val="22"/>
        </w:rPr>
        <w:t>13.2. producēšanas un projekta vadības izdevumi;</w:t>
      </w:r>
    </w:p>
    <w:p w14:paraId="03C2C72D" w14:textId="77777777" w:rsidR="00910F46" w:rsidRDefault="00000000">
      <w:pPr>
        <w:spacing w:line="360" w:lineRule="auto"/>
        <w:ind w:left="360" w:hanging="360"/>
        <w:rPr>
          <w:rFonts w:ascii="Arial" w:eastAsia="Arial" w:hAnsi="Arial" w:cs="Arial"/>
          <w:sz w:val="22"/>
          <w:szCs w:val="22"/>
        </w:rPr>
      </w:pPr>
      <w:r>
        <w:rPr>
          <w:rFonts w:ascii="Arial" w:eastAsia="Arial" w:hAnsi="Arial" w:cs="Arial"/>
          <w:sz w:val="22"/>
          <w:szCs w:val="22"/>
        </w:rPr>
        <w:t>13.3. Pasākuma vietas izmaksas (noma, apskaņošana, gaismošana, apkalpojošais personāls u. tml.);</w:t>
      </w:r>
    </w:p>
    <w:p w14:paraId="625FCCA2" w14:textId="77777777" w:rsidR="00910F46" w:rsidRDefault="00000000">
      <w:pPr>
        <w:spacing w:line="360" w:lineRule="auto"/>
        <w:ind w:left="360" w:hanging="360"/>
        <w:rPr>
          <w:rFonts w:ascii="Arial" w:eastAsia="Arial" w:hAnsi="Arial" w:cs="Arial"/>
          <w:sz w:val="22"/>
          <w:szCs w:val="22"/>
        </w:rPr>
      </w:pPr>
      <w:r>
        <w:rPr>
          <w:rFonts w:ascii="Arial" w:eastAsia="Arial" w:hAnsi="Arial" w:cs="Arial"/>
          <w:sz w:val="22"/>
          <w:szCs w:val="22"/>
        </w:rPr>
        <w:t>13.4. Pasākuma īstenošanai nepieciešamo materiālu iegāde un aprīkojuma noma;</w:t>
      </w:r>
    </w:p>
    <w:p w14:paraId="103A410A" w14:textId="77777777" w:rsidR="00910F46" w:rsidRDefault="00000000">
      <w:pPr>
        <w:spacing w:line="360" w:lineRule="auto"/>
        <w:ind w:left="360" w:hanging="360"/>
        <w:rPr>
          <w:rFonts w:ascii="Arial" w:eastAsia="Arial" w:hAnsi="Arial" w:cs="Arial"/>
          <w:sz w:val="22"/>
          <w:szCs w:val="22"/>
        </w:rPr>
      </w:pPr>
      <w:r>
        <w:rPr>
          <w:rFonts w:ascii="Arial" w:eastAsia="Arial" w:hAnsi="Arial" w:cs="Arial"/>
          <w:sz w:val="22"/>
          <w:szCs w:val="22"/>
        </w:rPr>
        <w:t>13.5. ceļa un uzturēšanās izdevumi Pasākumā iesaistītajiem māksliniekiem un tehniskajam personālam;</w:t>
      </w:r>
    </w:p>
    <w:p w14:paraId="25DDDC79" w14:textId="77777777" w:rsidR="00910F46" w:rsidRDefault="00000000">
      <w:pPr>
        <w:spacing w:line="360" w:lineRule="auto"/>
        <w:ind w:left="360" w:hanging="360"/>
        <w:rPr>
          <w:rFonts w:ascii="Arial" w:eastAsia="Arial" w:hAnsi="Arial" w:cs="Arial"/>
          <w:sz w:val="22"/>
          <w:szCs w:val="22"/>
        </w:rPr>
      </w:pPr>
      <w:r>
        <w:rPr>
          <w:rFonts w:ascii="Arial" w:eastAsia="Arial" w:hAnsi="Arial" w:cs="Arial"/>
          <w:sz w:val="22"/>
          <w:szCs w:val="22"/>
        </w:rPr>
        <w:t>13.6. mārketinga un komunikācijas aktivitāšu izmaksas.</w:t>
      </w:r>
    </w:p>
    <w:p w14:paraId="4B5FDE81" w14:textId="77777777" w:rsidR="00910F46" w:rsidRDefault="00000000">
      <w:pPr>
        <w:spacing w:line="360" w:lineRule="auto"/>
        <w:ind w:left="360" w:hanging="360"/>
        <w:rPr>
          <w:rFonts w:ascii="Arial" w:eastAsia="Arial" w:hAnsi="Arial" w:cs="Arial"/>
          <w:sz w:val="22"/>
          <w:szCs w:val="22"/>
        </w:rPr>
      </w:pPr>
      <w:r>
        <w:rPr>
          <w:rFonts w:ascii="Arial" w:eastAsia="Arial" w:hAnsi="Arial" w:cs="Arial"/>
          <w:sz w:val="22"/>
          <w:szCs w:val="22"/>
        </w:rPr>
        <w:t>14. Līdzfinansējumu nepiešķir šādām izmaksām:</w:t>
      </w:r>
    </w:p>
    <w:p w14:paraId="37E7DED2" w14:textId="77777777" w:rsidR="00910F46" w:rsidRDefault="00000000">
      <w:pPr>
        <w:spacing w:line="360" w:lineRule="auto"/>
        <w:ind w:left="360" w:hanging="360"/>
        <w:rPr>
          <w:rFonts w:ascii="Arial" w:eastAsia="Arial" w:hAnsi="Arial" w:cs="Arial"/>
          <w:sz w:val="22"/>
          <w:szCs w:val="22"/>
        </w:rPr>
      </w:pPr>
      <w:r>
        <w:rPr>
          <w:rFonts w:ascii="Arial" w:eastAsia="Arial" w:hAnsi="Arial" w:cs="Arial"/>
          <w:sz w:val="22"/>
          <w:szCs w:val="22"/>
        </w:rPr>
        <w:t>14.1. ēdināšanai un kafijas pauzēm;</w:t>
      </w:r>
    </w:p>
    <w:p w14:paraId="555BDD9A"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14.2. pretendenta vai Projektā iesaistīto partneru un trešo personu organizācijas pamatdarbības nodrošināšanai, pamatlīdzekļu, tehniskā aprīkojuma iegādei, telpu remontam un materiāltehniskās bāzes uzlabošanai, kā arī Projektā iesaistīto partneru un trešo personu organizāciju administratīvās pamatdarbības nodrošinājumam;</w:t>
      </w:r>
    </w:p>
    <w:p w14:paraId="40514971" w14:textId="77777777" w:rsidR="00910F46" w:rsidRDefault="00000000">
      <w:pPr>
        <w:spacing w:line="360" w:lineRule="auto"/>
        <w:ind w:left="360" w:hanging="360"/>
        <w:rPr>
          <w:rFonts w:ascii="Arial" w:eastAsia="Arial" w:hAnsi="Arial" w:cs="Arial"/>
          <w:sz w:val="22"/>
          <w:szCs w:val="22"/>
        </w:rPr>
      </w:pPr>
      <w:r>
        <w:rPr>
          <w:rFonts w:ascii="Arial" w:eastAsia="Arial" w:hAnsi="Arial" w:cs="Arial"/>
          <w:sz w:val="22"/>
          <w:szCs w:val="22"/>
        </w:rPr>
        <w:t>14.3. pabalstiem, prēmijām, naudas balvām un citiem līdzīgiem maksājumiem;</w:t>
      </w:r>
    </w:p>
    <w:p w14:paraId="097B4E7E" w14:textId="77777777" w:rsidR="00910F46" w:rsidRDefault="00000000">
      <w:pPr>
        <w:spacing w:line="360" w:lineRule="auto"/>
        <w:ind w:left="360" w:hanging="360"/>
        <w:rPr>
          <w:rFonts w:ascii="Arial" w:eastAsia="Arial" w:hAnsi="Arial" w:cs="Arial"/>
          <w:sz w:val="22"/>
          <w:szCs w:val="22"/>
        </w:rPr>
      </w:pPr>
      <w:r>
        <w:rPr>
          <w:rFonts w:ascii="Arial" w:eastAsia="Arial" w:hAnsi="Arial" w:cs="Arial"/>
          <w:sz w:val="22"/>
          <w:szCs w:val="22"/>
        </w:rPr>
        <w:t>14.4. procentu maksājumiem, zaudējumu atlīdzībai un parāda dzēšanai.</w:t>
      </w:r>
    </w:p>
    <w:p w14:paraId="5A7EF477"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15. Līdzfinansējumu piešķir to Pasākumu īstenošanai, kuri vērtēšanas laikā ieguvuši lielāko punktu skaitu. Ja divi vai vairāki pieteikumi vienā un tajā pašā programmā, kas pieteikti vienam un tam pašam līdzfinansējuma veidam, ir saņēmuši vienādu punktu skaitu un Nodibinājuma budžetā šim mērķim paredzētais finansējums ir ierobežots, tad šos pieteikumus sarakstā sarindo pēc lielākā saņemto punktu skaita atbilstoši kritērijiem par Pasākuma māksliniecisko kvalitāti un Starptautisko sadarbību.</w:t>
      </w:r>
    </w:p>
    <w:p w14:paraId="53755804" w14:textId="77777777" w:rsidR="00910F46" w:rsidRDefault="00910F46">
      <w:pPr>
        <w:spacing w:line="360" w:lineRule="auto"/>
        <w:rPr>
          <w:rFonts w:ascii="Arial" w:eastAsia="Arial" w:hAnsi="Arial" w:cs="Arial"/>
          <w:sz w:val="22"/>
          <w:szCs w:val="22"/>
        </w:rPr>
      </w:pPr>
    </w:p>
    <w:p w14:paraId="57BE62AD" w14:textId="77777777" w:rsidR="00910F46" w:rsidRDefault="00000000">
      <w:pPr>
        <w:numPr>
          <w:ilvl w:val="0"/>
          <w:numId w:val="2"/>
        </w:numPr>
        <w:pBdr>
          <w:top w:val="nil"/>
          <w:left w:val="nil"/>
          <w:bottom w:val="nil"/>
          <w:right w:val="nil"/>
          <w:between w:val="nil"/>
        </w:pBdr>
        <w:spacing w:line="360" w:lineRule="auto"/>
        <w:rPr>
          <w:rFonts w:ascii="Arial" w:eastAsia="Arial" w:hAnsi="Arial" w:cs="Arial"/>
          <w:b/>
          <w:color w:val="000000"/>
          <w:sz w:val="22"/>
          <w:szCs w:val="22"/>
        </w:rPr>
      </w:pPr>
      <w:r>
        <w:rPr>
          <w:rFonts w:ascii="Arial" w:eastAsia="Arial" w:hAnsi="Arial" w:cs="Arial"/>
          <w:b/>
          <w:color w:val="000000"/>
          <w:sz w:val="22"/>
          <w:szCs w:val="22"/>
        </w:rPr>
        <w:t>Pieteikuma iesniegšana, izvērtēšanas kārtība un kritēriji</w:t>
      </w:r>
    </w:p>
    <w:p w14:paraId="3DDC5CCA"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 xml:space="preserve">16. Pretendents Paziņojumā par konkursu noteiktajā termiņā uz Nodibinājuma elektroniskā pasta adresi </w:t>
      </w:r>
      <w:hyperlink r:id="rId10">
        <w:r>
          <w:rPr>
            <w:rFonts w:ascii="Arial" w:eastAsia="Arial" w:hAnsi="Arial" w:cs="Arial"/>
            <w:color w:val="000000"/>
            <w:sz w:val="22"/>
            <w:szCs w:val="22"/>
          </w:rPr>
          <w:t>birojs@liepaja2027.lv</w:t>
        </w:r>
      </w:hyperlink>
      <w:r>
        <w:rPr>
          <w:rFonts w:ascii="Arial" w:eastAsia="Arial" w:hAnsi="Arial" w:cs="Arial"/>
          <w:sz w:val="22"/>
          <w:szCs w:val="22"/>
        </w:rPr>
        <w:t xml:space="preserve"> un anna.sile@liepaja2027.lv </w:t>
      </w:r>
      <w:proofErr w:type="spellStart"/>
      <w:r>
        <w:rPr>
          <w:rFonts w:ascii="Arial" w:eastAsia="Arial" w:hAnsi="Arial" w:cs="Arial"/>
          <w:sz w:val="22"/>
          <w:szCs w:val="22"/>
        </w:rPr>
        <w:t>nosūta</w:t>
      </w:r>
      <w:proofErr w:type="spellEnd"/>
      <w:r>
        <w:rPr>
          <w:rFonts w:ascii="Arial" w:eastAsia="Arial" w:hAnsi="Arial" w:cs="Arial"/>
          <w:sz w:val="22"/>
          <w:szCs w:val="22"/>
        </w:rPr>
        <w:t xml:space="preserve"> pieteikumu, kas sagatavots, izmantojot Nolikuma 1.un 3.pielikumu (turpmāk – Pieteikums), un parakstīts ar drošu elektronisko parakstu vienā EDOC formāta </w:t>
      </w:r>
      <w:proofErr w:type="spellStart"/>
      <w:r>
        <w:rPr>
          <w:rFonts w:ascii="Arial" w:eastAsia="Arial" w:hAnsi="Arial" w:cs="Arial"/>
          <w:sz w:val="22"/>
          <w:szCs w:val="22"/>
        </w:rPr>
        <w:t>pakotnē</w:t>
      </w:r>
      <w:proofErr w:type="spellEnd"/>
      <w:r>
        <w:rPr>
          <w:rFonts w:ascii="Arial" w:eastAsia="Arial" w:hAnsi="Arial" w:cs="Arial"/>
          <w:sz w:val="22"/>
          <w:szCs w:val="22"/>
        </w:rPr>
        <w:t xml:space="preserve">. Ja pieteikumu Pretendenta vārdā paraksta pārstāvis, tam pievieno pilnvarojuma dokumentu. Pieteikums sagatavojams latviešu vai angļu valodā. </w:t>
      </w:r>
    </w:p>
    <w:p w14:paraId="49E09856"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lastRenderedPageBreak/>
        <w:t>17. Maksimālais punktu skaits, ko katrs Komisijas loceklis var piešķirt vienam pieteikumam, ir 120 punkti. Pieteikuma kopējais vērtējums ir visu Komisijas locekļu piešķirto punktu summa. Pieteikumu vērtē atbilstoši šādiem vērtēšanas kritērijiem:</w:t>
      </w:r>
    </w:p>
    <w:p w14:paraId="4840E4BF"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17.1. kritērijā “Pasākuma ieceres kvalitāte” vērtē Pasākuma mērķu un uzdevumu skaidrību un atbilstību plānotajām aktivitātēm, aktivitāšu un termiņu struktūru, sasniedzamo rezultātu formulējumu, plānoto aktivitāšu stratēģiju un tās pamatojumu, piešķirot līdz 15 punktiem:</w:t>
      </w:r>
    </w:p>
    <w:p w14:paraId="7C94547E" w14:textId="77777777" w:rsidR="00910F46" w:rsidRDefault="00000000">
      <w:pPr>
        <w:spacing w:line="360" w:lineRule="auto"/>
        <w:ind w:left="90"/>
        <w:jc w:val="both"/>
        <w:rPr>
          <w:rFonts w:ascii="Arial" w:eastAsia="Arial" w:hAnsi="Arial" w:cs="Arial"/>
          <w:sz w:val="22"/>
          <w:szCs w:val="22"/>
        </w:rPr>
      </w:pPr>
      <w:r>
        <w:rPr>
          <w:rFonts w:ascii="Arial" w:eastAsia="Arial" w:hAnsi="Arial" w:cs="Arial"/>
          <w:sz w:val="22"/>
          <w:szCs w:val="22"/>
        </w:rPr>
        <w:t>15–13 punkti – iecere ir strukturēta, mērķi skaidri, stratēģija detalizēta un loģiski pamatota.</w:t>
      </w:r>
    </w:p>
    <w:p w14:paraId="617A4F32" w14:textId="77777777" w:rsidR="00910F46" w:rsidRDefault="00000000">
      <w:pPr>
        <w:spacing w:line="360" w:lineRule="auto"/>
        <w:ind w:left="90"/>
        <w:jc w:val="both"/>
        <w:rPr>
          <w:rFonts w:ascii="Arial" w:eastAsia="Arial" w:hAnsi="Arial" w:cs="Arial"/>
          <w:sz w:val="22"/>
          <w:szCs w:val="22"/>
        </w:rPr>
      </w:pPr>
      <w:r>
        <w:rPr>
          <w:rFonts w:ascii="Arial" w:eastAsia="Arial" w:hAnsi="Arial" w:cs="Arial"/>
          <w:sz w:val="22"/>
          <w:szCs w:val="22"/>
        </w:rPr>
        <w:t>12–8 punkti – iecere kopumā saprotama, mērķi formulēti, taču stratēģija daļēji vispārīga vai bez konkrēta pamatojuma.</w:t>
      </w:r>
    </w:p>
    <w:p w14:paraId="2C3D20E2" w14:textId="77777777" w:rsidR="00910F46" w:rsidRDefault="00000000">
      <w:pPr>
        <w:spacing w:line="360" w:lineRule="auto"/>
        <w:ind w:left="90"/>
        <w:jc w:val="both"/>
        <w:rPr>
          <w:rFonts w:ascii="Arial" w:eastAsia="Arial" w:hAnsi="Arial" w:cs="Arial"/>
          <w:sz w:val="22"/>
          <w:szCs w:val="22"/>
        </w:rPr>
      </w:pPr>
      <w:r>
        <w:rPr>
          <w:rFonts w:ascii="Arial" w:eastAsia="Arial" w:hAnsi="Arial" w:cs="Arial"/>
          <w:sz w:val="22"/>
          <w:szCs w:val="22"/>
        </w:rPr>
        <w:t xml:space="preserve">7–0 punkti – informācija nepilnīga vai pretrunīga, stratēģijas un rezultātu sasaistes nav. </w:t>
      </w:r>
    </w:p>
    <w:p w14:paraId="40235146"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17.2. kritērijā “Pasākuma mākslinieciskā kvalitāte un aktualitāte” vērtē idejas māksliniecisko vērtību un nozīmīgumu Liepāja 2027 programmas kontekstā, radošās koncepcijas kvalitāti, oriģinalitāti un aktualitāti, autoru ieceri un māksliniecisko vēstījumu, mākslinieku, radošo kolektīvu izvēli, daudzveidīgu izteiksmes līdzekļu izmantojumu, piešķirot līdz 20 punktiem:</w:t>
      </w:r>
    </w:p>
    <w:p w14:paraId="25F1B5BC"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20–17 punkti – augsta mākslinieciskā kvalitāte, ideja oriģināla, nozīmīga, autoru izvēle pamatota, izmantojami dažādi izteiksmes līdzekļi.</w:t>
      </w:r>
    </w:p>
    <w:p w14:paraId="44D5B5D4"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16–10 punkti – mākslinieciskā ideja ir pamatota, taču mazāk oriģināla vai ierobežoti izstrādāta, autoru izvēle nav detalizēta.</w:t>
      </w:r>
    </w:p>
    <w:p w14:paraId="55AD5943"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 xml:space="preserve">9–0 punkti – ideja vispārīga, bez skaidra mākslinieciskā koncepta, autoru vai radošās komandas izvēle nav pamatota. </w:t>
      </w:r>
    </w:p>
    <w:p w14:paraId="7646319C"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17.3. kritērijā “Pasākuma atbilstība Konkursa vadlīnijām” vērtē Pasākuma atbilstību konkursa mērķim, attiecīgās programmas, uz kuru Pieteikums iesniegts, vadlīnijām (Nolikuma 2.pielikums), Eiropas Savienības pamatvērtībām kā tās definētas līguma par “Eiropas Savienību” 2.pantā (cilvēka cieņu, brīvību, demokrātiju, vienlīdzību, tiesiskumu un cilvēktiesību ievērošanu), piešķirot līdz 15 punktiem:</w:t>
      </w:r>
    </w:p>
    <w:p w14:paraId="7DEA1871"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15–13 punkti – pilnīga atbilstība konkursa mērķiem, vadlīnijām un ES pamatvērtībām, skaidri formulēts pienesums programmas kopējai vīzijai.</w:t>
      </w:r>
    </w:p>
    <w:p w14:paraId="18B8A11D"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12–7 punkti – daļēja vai vispārīga atbilstība, vadlīnijas respektētas, taču netiek detalizēti sasaistītas ar projekta ideju.</w:t>
      </w:r>
    </w:p>
    <w:p w14:paraId="7E0984F6"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 xml:space="preserve">6–0 punkti – formāla atbilstība vai tās trūkums, pamatvērtības nav integrētas projektā. </w:t>
      </w:r>
    </w:p>
    <w:p w14:paraId="4E3ED0BF"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17.4. kritērijā “Pieejamība plašai mērķauditorijai” vērtē skatītāju vai apmeklētāju potenciālo skaitu attiecībā pret pieprasīto finansējumu, pieejamību dažādām sabiedrības grupām, tostarp cilvēkiem ar invaliditāti, ģimenēm ar bērniem, ilgtspējīgas un videi draudzīgas kultūras pārvaldības prakses ievērošanu, piešķirot līdz 10 punktiem:</w:t>
      </w:r>
    </w:p>
    <w:p w14:paraId="5ADB0122"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lastRenderedPageBreak/>
        <w:t>10–8 punkti – projekts orientēts uz plašu auditoriju, skaits samērīgs</w:t>
      </w:r>
      <w:r>
        <w:rPr>
          <w:rFonts w:ascii="Arial" w:eastAsia="Arial" w:hAnsi="Arial" w:cs="Arial"/>
          <w:sz w:val="22"/>
          <w:szCs w:val="22"/>
          <w:vertAlign w:val="superscript"/>
        </w:rPr>
        <w:footnoteReference w:id="3"/>
      </w:r>
      <w:r>
        <w:rPr>
          <w:rFonts w:ascii="Arial" w:eastAsia="Arial" w:hAnsi="Arial" w:cs="Arial"/>
          <w:sz w:val="22"/>
          <w:szCs w:val="22"/>
        </w:rPr>
        <w:t xml:space="preserve"> pret izmaksām, skaidri pieejamības un ilgtspējas pasākumi. </w:t>
      </w:r>
    </w:p>
    <w:p w14:paraId="1EC755B6"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7–4 punkti – auditorija vispārīgi definēta, pieejamība vai ilgtspēja minēta, bet nav izstrādāta.</w:t>
      </w:r>
    </w:p>
    <w:p w14:paraId="602FF138"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3–0 punkti – trūkst skaidras informācijas par auditoriju, pieejamība un videi draudzīgums nav apskatīts.</w:t>
      </w:r>
    </w:p>
    <w:p w14:paraId="2A45E3D6"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17.5. kritērijā “Pretendenta kompetence” vērtē Pretendenta spēju nodrošināt Pasākuma kvalitatīvu izpildi, Pasākuma īstenotāju un iesaistīto mākslinieku un tehnisko speciālistu pieredzi līdzīgu projektu īstenošanā, vērtējot iepriekšējo 3 (trīs) gadu laikā īstenotos projektus, piešķirot līdz 10 punktiem:</w:t>
      </w:r>
    </w:p>
    <w:p w14:paraId="56425132"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10 – 8 punkti – plaša pieredze līdzvērtīgu projektu vadībā, komanda ar atbilstošu profesionālo kompetenci.</w:t>
      </w:r>
    </w:p>
    <w:p w14:paraId="4931DDCE"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7 – 4 punkti – ir līdzīga pieredze, bet nav pilnībā demonstrēta komandas kapacitāte.</w:t>
      </w:r>
    </w:p>
    <w:p w14:paraId="1916FE3B"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3–0 punkti – būtiskas pieredzes trūkums vai tā nav skaidri pierādīta.</w:t>
      </w:r>
    </w:p>
    <w:p w14:paraId="2223E178" w14:textId="77777777" w:rsidR="00910F46" w:rsidRDefault="00000000">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17.6. kritērijā “Pasākuma tāme” vērtē izmaksu pamatojumu, to samērību ar plānotajām aktivitātēm un auditoriju, finanšu piesaistes plānu, vai mārketinga aktivitāšu izmaksas sastāda vismaz 10% no kopējām Pasākuma izmaksām neatkarīgi no tā, vai tās plānots segt no pieprasītā līdzfinansējuma vai citiem finansējuma avotiem, piešķirot līdz 10 punktiem:</w:t>
      </w:r>
    </w:p>
    <w:p w14:paraId="558D8FBC"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10–8 punkti – izmaksas detalizētas un pamatotas, norādīts ticams finanšu piesaistes plāns, mārketinga izmaksas ir paredzētas un veido vismaz 10% no kopējām izmaksām.</w:t>
      </w:r>
    </w:p>
    <w:p w14:paraId="32D002A7"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7–4 punkti – Tāme kopumā ir saprotama, taču atsevišķām pozīcijām trūkst detalizēta pamatojuma vai mārketinga izmaksas ir nepietiekamas vai nepamatotas vai finanšu piesaistes plāns bez pamatojuma.</w:t>
      </w:r>
    </w:p>
    <w:p w14:paraId="710294F6"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3–0 punkti – Izmaksas nav samērīgas ar plānotajām aktivitātēm, pamatojums ir nepilnīgs vai nav finanšu piesaistes plāna vai tas ir vājš vai nav iekļautas mārketinga izmaksas, kas būtu nepieciešamas pasākuma auditorijas sasniegšanai.</w:t>
      </w:r>
    </w:p>
    <w:p w14:paraId="0B198879"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17.7. kritērijā “Starptautiskā sadarbība” vērtē Pasākuma spēju veidot jēgpilnu un ilgtermiņā noturīgu starptautisku sadarbību, starptautisku partneru iesaisti Pasākuma īstenošanā, kā arī starptautiskās auditorijas piesaistes stratēģiju un tās īstenošanas potenciālu, piešķirot līdz 20 punktiem:</w:t>
      </w:r>
    </w:p>
    <w:p w14:paraId="6D953B08" w14:textId="77777777" w:rsidR="00910F46" w:rsidRDefault="00000000">
      <w:pPr>
        <w:spacing w:line="360" w:lineRule="auto"/>
        <w:jc w:val="both"/>
        <w:rPr>
          <w:rFonts w:ascii="Arial" w:eastAsia="Arial" w:hAnsi="Arial" w:cs="Arial"/>
          <w:sz w:val="22"/>
          <w:szCs w:val="22"/>
        </w:rPr>
      </w:pPr>
      <w:r>
        <w:rPr>
          <w:rFonts w:ascii="Arial" w:eastAsia="Arial" w:hAnsi="Arial" w:cs="Arial"/>
          <w:sz w:val="22"/>
          <w:szCs w:val="22"/>
        </w:rPr>
        <w:t xml:space="preserve">20–17 punkti – Projektā ir identificēti konkrēti, nozīmīgi starptautiskie partneri, definēta sadarbības forma (kopražojums, kopprojekts, partneru līdzatbildība īstenošanā u.c.). Ir skaidrs un </w:t>
      </w:r>
      <w:r>
        <w:rPr>
          <w:rFonts w:ascii="Arial" w:eastAsia="Arial" w:hAnsi="Arial" w:cs="Arial"/>
          <w:sz w:val="22"/>
          <w:szCs w:val="22"/>
        </w:rPr>
        <w:lastRenderedPageBreak/>
        <w:t>pārliecinošs starptautiskās auditorijas piesaistes plāns (mārketinga, komunikācijas vai mobilitātes stratēģija), un ir redzams ilgtermiņa starptautiskās sadarbības potenciāls arī pēc projekta norises.</w:t>
      </w:r>
    </w:p>
    <w:p w14:paraId="1106A123" w14:textId="77777777" w:rsidR="00910F46" w:rsidRDefault="00000000">
      <w:pPr>
        <w:spacing w:line="360" w:lineRule="auto"/>
        <w:jc w:val="both"/>
        <w:rPr>
          <w:rFonts w:ascii="Arial" w:eastAsia="Arial" w:hAnsi="Arial" w:cs="Arial"/>
          <w:sz w:val="22"/>
          <w:szCs w:val="22"/>
        </w:rPr>
      </w:pPr>
      <w:r>
        <w:rPr>
          <w:rFonts w:ascii="Arial" w:eastAsia="Arial" w:hAnsi="Arial" w:cs="Arial"/>
          <w:sz w:val="22"/>
          <w:szCs w:val="22"/>
        </w:rPr>
        <w:t>16–10 punkti – Projektā minēti iespējamie ārvalstu sadarbības partneri vai ir nosacīta iesaiste (piemēram, viesmākslinieki). Ir iezīmēta starptautiskās auditorijas piesaiste, taču stratēģija ir vispārīga vai nepietiekami attīstīta.</w:t>
      </w:r>
    </w:p>
    <w:p w14:paraId="46607FAD" w14:textId="77777777" w:rsidR="00910F46" w:rsidRDefault="00000000">
      <w:pPr>
        <w:spacing w:line="360" w:lineRule="auto"/>
        <w:jc w:val="both"/>
        <w:rPr>
          <w:rFonts w:ascii="Arial" w:eastAsia="Arial" w:hAnsi="Arial" w:cs="Arial"/>
          <w:sz w:val="22"/>
          <w:szCs w:val="22"/>
        </w:rPr>
      </w:pPr>
      <w:r>
        <w:rPr>
          <w:rFonts w:ascii="Arial" w:eastAsia="Arial" w:hAnsi="Arial" w:cs="Arial"/>
          <w:sz w:val="22"/>
          <w:szCs w:val="22"/>
        </w:rPr>
        <w:t xml:space="preserve">9–0 punkti – Nav iesaistīti starptautiski partneri vai to loma projektā ir formāla (bez satura </w:t>
      </w:r>
      <w:proofErr w:type="spellStart"/>
      <w:r>
        <w:rPr>
          <w:rFonts w:ascii="Arial" w:eastAsia="Arial" w:hAnsi="Arial" w:cs="Arial"/>
          <w:sz w:val="22"/>
          <w:szCs w:val="22"/>
        </w:rPr>
        <w:t>līdzradīšanas</w:t>
      </w:r>
      <w:proofErr w:type="spellEnd"/>
      <w:r>
        <w:rPr>
          <w:rFonts w:ascii="Arial" w:eastAsia="Arial" w:hAnsi="Arial" w:cs="Arial"/>
          <w:sz w:val="22"/>
          <w:szCs w:val="22"/>
        </w:rPr>
        <w:t xml:space="preserve"> vai kopīgas īstenošanas). Starptautiskās auditorijas piesaiste nav plānota vai nav pamatota.</w:t>
      </w:r>
    </w:p>
    <w:p w14:paraId="7F0EE004"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 xml:space="preserve">17.8. Kritērijā “Mārketings un komunikācija” vērtē Pretendenta spēju nodrošināt un īstenot kvalitatīvu Pasākuma mārketinga un komunikācijas procesu. Tiek izvērtēti komunikācijas mērķi, identificētās mērķauditorijas un izvēlētie kanāli, starptautiskās un digitālās komunikācijas potenciāls, sabiedrības iesaistes un pieejamības risinājumi, ilgtspējas principu integrācija mārketinga aktivitātēs (piemēram, videi draudzīgi materiāli, </w:t>
      </w:r>
      <w:proofErr w:type="spellStart"/>
      <w:r>
        <w:rPr>
          <w:rFonts w:ascii="Arial" w:eastAsia="Arial" w:hAnsi="Arial" w:cs="Arial"/>
          <w:sz w:val="22"/>
          <w:szCs w:val="22"/>
        </w:rPr>
        <w:t>piekļūstamība</w:t>
      </w:r>
      <w:proofErr w:type="spellEnd"/>
      <w:r>
        <w:rPr>
          <w:rFonts w:ascii="Arial" w:eastAsia="Arial" w:hAnsi="Arial" w:cs="Arial"/>
          <w:sz w:val="22"/>
          <w:szCs w:val="22"/>
        </w:rPr>
        <w:t>, vietējās kopienas iesaiste), ietekmes novērtēšanas rīku un metožu plānojums (piemēram, digitālās statistikas analīze, aptaujas, rezultātu izvērtēšana), kā arī piesaistīto komunikācijas un mārketinga speciālistu pieredze un profesionalitāte. Par šo kritēriju var piešķirt līdz 20 punktiem:</w:t>
      </w:r>
    </w:p>
    <w:p w14:paraId="78B5074A" w14:textId="77777777" w:rsidR="00910F46" w:rsidRDefault="00000000">
      <w:pPr>
        <w:spacing w:line="360" w:lineRule="auto"/>
        <w:jc w:val="both"/>
        <w:rPr>
          <w:rFonts w:ascii="Arial" w:eastAsia="Arial" w:hAnsi="Arial" w:cs="Arial"/>
          <w:sz w:val="22"/>
          <w:szCs w:val="22"/>
        </w:rPr>
      </w:pPr>
      <w:r>
        <w:rPr>
          <w:rFonts w:ascii="Arial" w:eastAsia="Arial" w:hAnsi="Arial" w:cs="Arial"/>
          <w:sz w:val="22"/>
          <w:szCs w:val="22"/>
        </w:rPr>
        <w:t>20–17 punkti – komunikācijas stratēģija ir vispusīgi izstrādāta un profesionāli pamatota, ar skaidru starptautisko un digitālo virzienu, sabiedrības iesaistes un pieejamības risinājumiem, ilgtspējas principu ievērošanu un piesaistītiem pieredzējušiem speciālistiem;</w:t>
      </w:r>
    </w:p>
    <w:p w14:paraId="53E59C3D" w14:textId="77777777" w:rsidR="00910F46" w:rsidRDefault="00000000">
      <w:pPr>
        <w:spacing w:line="360" w:lineRule="auto"/>
        <w:jc w:val="both"/>
        <w:rPr>
          <w:rFonts w:ascii="Arial" w:eastAsia="Arial" w:hAnsi="Arial" w:cs="Arial"/>
          <w:sz w:val="22"/>
          <w:szCs w:val="22"/>
        </w:rPr>
      </w:pPr>
      <w:r>
        <w:rPr>
          <w:rFonts w:ascii="Arial" w:eastAsia="Arial" w:hAnsi="Arial" w:cs="Arial"/>
          <w:sz w:val="22"/>
          <w:szCs w:val="22"/>
        </w:rPr>
        <w:t>16–10 punkti – stratēģija ir izstrādāta, taču daļēji trūkst detalizācijas vai ir nepietiekami attīstīta kāda no sadaļām (piemēram, digitālā vai starptautiskā dimensija), piesaistītajiem speciālistiem ir nepietiekama pieredze attiecīgajā jomā;</w:t>
      </w:r>
    </w:p>
    <w:p w14:paraId="2AA7C1D4" w14:textId="77777777" w:rsidR="00910F46" w:rsidRDefault="00000000">
      <w:pPr>
        <w:spacing w:line="360" w:lineRule="auto"/>
        <w:jc w:val="both"/>
        <w:rPr>
          <w:rFonts w:ascii="Arial" w:eastAsia="Arial" w:hAnsi="Arial" w:cs="Arial"/>
          <w:sz w:val="22"/>
          <w:szCs w:val="22"/>
        </w:rPr>
      </w:pPr>
      <w:r>
        <w:rPr>
          <w:rFonts w:ascii="Arial" w:eastAsia="Arial" w:hAnsi="Arial" w:cs="Arial"/>
          <w:sz w:val="22"/>
          <w:szCs w:val="22"/>
        </w:rPr>
        <w:t>9–0 punkti – stratēģija ir vispārīga, pretrunīga vai nepilnīgi izstrādāta, trūkst pamatojuma par sabiedrības iesaisti, ilgtspējas risinājumiem vai speciālistu kompetenci.</w:t>
      </w:r>
    </w:p>
    <w:p w14:paraId="00C3AA8D" w14:textId="77777777" w:rsidR="00910F46" w:rsidRDefault="00910F46">
      <w:pPr>
        <w:spacing w:line="360" w:lineRule="auto"/>
        <w:jc w:val="both"/>
        <w:rPr>
          <w:rFonts w:ascii="Arial" w:eastAsia="Arial" w:hAnsi="Arial" w:cs="Arial"/>
          <w:sz w:val="22"/>
          <w:szCs w:val="22"/>
        </w:rPr>
      </w:pPr>
    </w:p>
    <w:p w14:paraId="6D72901A"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18. Izvērtējot Pieteikumus saskaņā ar noteiktajiem kritērijiem, Komisija pieņem lēmumu par atteikumu piešķirt Līdzfinansējumu šādos gadījumos:</w:t>
      </w:r>
    </w:p>
    <w:p w14:paraId="5F0F2E14"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18.1. Pieteikuma vidējais vērtējums (rēķinot visu komisijas locekļu piešķirto punktu aritmētisko vidējo) ir mazāks par 72 punktiem no maksimāli iespējamajiem 120 punktiem;</w:t>
      </w:r>
    </w:p>
    <w:p w14:paraId="6467AB93"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18.2. kritērijā “Pasākuma mākslinieciskā kvalitāte un aktualitāte” Pieteikums ir novērtēts ar deviņiem vai mazāk punktiem;</w:t>
      </w:r>
    </w:p>
    <w:p w14:paraId="782E1F55"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18.3. kritērijā “Pasākuma atbilstība Konkursa vadlīnijām” Pieteikums ir novērtēts ar sešiem vai mazāk punktiem;</w:t>
      </w:r>
    </w:p>
    <w:p w14:paraId="1C750687"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lastRenderedPageBreak/>
        <w:t>18.4. kritērijā “’Starptautiskā sadarbība” Pieteikums ir novērtēts ar deviņiem vai mazāk punktiem;</w:t>
      </w:r>
    </w:p>
    <w:p w14:paraId="50882C41"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18.5. kritērijā “Mārketings un komunikācija” Pieteikums ir novērtēts ar deviņiem vai mazāk punktiem;</w:t>
      </w:r>
    </w:p>
    <w:p w14:paraId="131690D5"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18.6. Nodibinājuma budžetā Konkursam paredzētais finansējums nav pietiekams.</w:t>
      </w:r>
    </w:p>
    <w:p w14:paraId="63BEFF56" w14:textId="77777777" w:rsidR="00910F46" w:rsidRDefault="00910F46">
      <w:pPr>
        <w:spacing w:line="360" w:lineRule="auto"/>
        <w:rPr>
          <w:rFonts w:ascii="Arial" w:eastAsia="Arial" w:hAnsi="Arial" w:cs="Arial"/>
          <w:b/>
          <w:sz w:val="22"/>
          <w:szCs w:val="22"/>
        </w:rPr>
      </w:pPr>
    </w:p>
    <w:p w14:paraId="31567CC8" w14:textId="77777777" w:rsidR="00910F46" w:rsidRDefault="00000000">
      <w:pPr>
        <w:spacing w:line="360" w:lineRule="auto"/>
        <w:ind w:left="360" w:hanging="360"/>
        <w:jc w:val="center"/>
        <w:rPr>
          <w:rFonts w:ascii="Arial" w:eastAsia="Arial" w:hAnsi="Arial" w:cs="Arial"/>
          <w:b/>
          <w:sz w:val="22"/>
          <w:szCs w:val="22"/>
        </w:rPr>
      </w:pPr>
      <w:r>
        <w:rPr>
          <w:rFonts w:ascii="Arial" w:eastAsia="Arial" w:hAnsi="Arial" w:cs="Arial"/>
          <w:b/>
          <w:sz w:val="22"/>
          <w:szCs w:val="22"/>
        </w:rPr>
        <w:t>IV. Ekspertu un Komisijas kompetence, rezultātu paziņošanas kārtība, apstrīdēšana</w:t>
      </w:r>
    </w:p>
    <w:p w14:paraId="5DFDC5C4"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 xml:space="preserve">19. Lēmumu par līdzfinansējuma piešķiršanu, tā apmēru vai atteikumu piešķirt līdzfinansējumu pieņem Nodibinājuma izveidota vērtēšanas komisija (turpmāk – Komisija). Komisija sastāv no Komisijas priekšsēdētāja, Komisijas priekšsēdētāja vietnieka un vismaz pieciem (5) Komisijas locekļiem. Komisijas sēdes protokolē Komisijas sekretārs, kurš nav Komisijas loceklis. </w:t>
      </w:r>
    </w:p>
    <w:p w14:paraId="6B98EA7C"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20. Komisijas darbu vada Komisijas priekšsēdētājs, bet viņa prombūtnes laikā – Komisijas priekšsēdētāja vietnieks. Komisijai ir tiesības pieņemt lēmumu, ja sēdē piedalās vairāk nekā puse no Komisijas locekļu skaita. Lēmumu pieņem ar vienkāršu balsu vairākumu. Ja balsis dalās vienādi, Komisijas priekšsēdētāja balss ir izšķirošā. Komisijas loceklis nevar atturēties no lēmuma pieņemšanas.</w:t>
      </w:r>
    </w:p>
    <w:p w14:paraId="646881AB"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21. Komisijas sēdes notiek bez Pretendenta klātbūtnes, taču Komisijai nepieciešamības gadījumā ir tiesības uzaicināt piedalīties sēdē Pretendenta pārstāvi.</w:t>
      </w:r>
    </w:p>
    <w:p w14:paraId="1843693F"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22. Nodibinājuma valde ar rīkojumu izveido konsultatīvo padomi, kurā darbojas vismaz četri (4) mākslas un kultūras nozaru eksperti ar vienādām tiesībām un pienākumiem (turpmāk – Konsultatīvā padome). Eksperti tiek izraudzīti, ņemot vērā viņu profesionālo pieredzi, kompetenci attiecīgajā nozarē un reputāciju.</w:t>
      </w:r>
    </w:p>
    <w:p w14:paraId="6D294D7B"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 xml:space="preserve">23. Konsultatīvajai padomei ir padomdevēja tiesības un tās uzdevums ir, izmantojot tās locekļu profesionālo pieredzi un zināšanas, izskatīt iesniegtos Pieteikumus pēc būtības un sniegt rakstisku Pieteikumu satura </w:t>
      </w:r>
      <w:proofErr w:type="spellStart"/>
      <w:r>
        <w:rPr>
          <w:rFonts w:ascii="Arial" w:eastAsia="Arial" w:hAnsi="Arial" w:cs="Arial"/>
          <w:sz w:val="22"/>
          <w:szCs w:val="22"/>
        </w:rPr>
        <w:t>izvērtējumu</w:t>
      </w:r>
      <w:proofErr w:type="spellEnd"/>
      <w:r>
        <w:rPr>
          <w:rFonts w:ascii="Arial" w:eastAsia="Arial" w:hAnsi="Arial" w:cs="Arial"/>
          <w:sz w:val="22"/>
          <w:szCs w:val="22"/>
        </w:rPr>
        <w:t xml:space="preserve"> Komisijai. </w:t>
      </w:r>
    </w:p>
    <w:p w14:paraId="648E5F58"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24. Komisijas locekļi un eksperti paraksta apliecinājumu par interešu konflikta neesamību. Ja Komisijas loceklis vai eksperts ir personīgi ieinteresēts Pieteikuma izvēlē vai atbalstīšanā, viņš par to rakstiski informē Nodibinājuma valdi, kā arī nepiedalās Pieteikuma vērtēšanā un/vai lēmuma pieņemšanā.</w:t>
      </w:r>
    </w:p>
    <w:p w14:paraId="44EC8FF4"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25. Komisijai ir tiesības:</w:t>
      </w:r>
    </w:p>
    <w:p w14:paraId="425B6D71"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25.1. lūgt Pretendentam noteiktā termiņā skaidrot un precizēt Pieteikumā ietverto informāciju, iesniegt pamatojošus dokumentus;</w:t>
      </w:r>
    </w:p>
    <w:p w14:paraId="48824DCF"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25.2. veikt aritmētisko kļūdu labojumus;</w:t>
      </w:r>
    </w:p>
    <w:p w14:paraId="49EFDC29"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25.3. noteikt Līdzfinansējuma izmaksas kārtību;</w:t>
      </w:r>
    </w:p>
    <w:p w14:paraId="11DDE232"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25.4. atbalstīt daļu no Pasākuma tāmes pozīcijām vai tāmes pozīcijā pieprasītās summas.</w:t>
      </w:r>
    </w:p>
    <w:p w14:paraId="083B4EB7"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lastRenderedPageBreak/>
        <w:t>26. Komisija 15 darbdienu laikā pēc lēmuma pieņemšanas paziņo to adresātam ar elektroniskā pasta starpniecību, izmantojot drošu elektronisko parakstu. Komisijas lēmums uzskatāms par paziņotu otrajā darbdienā pēc tā nosūtīšanas.</w:t>
      </w:r>
    </w:p>
    <w:p w14:paraId="66477EF2" w14:textId="77777777" w:rsidR="00910F46" w:rsidRDefault="00000000">
      <w:pPr>
        <w:spacing w:line="360" w:lineRule="auto"/>
        <w:ind w:left="360" w:hanging="360"/>
        <w:jc w:val="both"/>
        <w:rPr>
          <w:rFonts w:ascii="Arial" w:eastAsia="Arial" w:hAnsi="Arial" w:cs="Arial"/>
          <w:color w:val="467886"/>
          <w:sz w:val="22"/>
          <w:szCs w:val="22"/>
          <w:u w:val="single"/>
        </w:rPr>
      </w:pPr>
      <w:r>
        <w:rPr>
          <w:rFonts w:ascii="Arial" w:eastAsia="Arial" w:hAnsi="Arial" w:cs="Arial"/>
          <w:sz w:val="22"/>
          <w:szCs w:val="22"/>
        </w:rPr>
        <w:t xml:space="preserve">27. Paziņojums par konkursa rezultātiem tiek publicēts tīmekļvietnē </w:t>
      </w:r>
      <w:hyperlink r:id="rId11">
        <w:r>
          <w:rPr>
            <w:rFonts w:ascii="Arial" w:eastAsia="Arial" w:hAnsi="Arial" w:cs="Arial"/>
            <w:color w:val="000000"/>
            <w:sz w:val="22"/>
            <w:szCs w:val="22"/>
          </w:rPr>
          <w:t>www.liepaja2027.lv</w:t>
        </w:r>
      </w:hyperlink>
      <w:r>
        <w:rPr>
          <w:rFonts w:ascii="Arial" w:eastAsia="Arial" w:hAnsi="Arial" w:cs="Arial"/>
          <w:sz w:val="22"/>
          <w:szCs w:val="22"/>
        </w:rPr>
        <w:t>, norādot līdzfinansējuma saņēmējus un piešķirtā līdzfinansējuma apmēru.</w:t>
      </w:r>
    </w:p>
    <w:p w14:paraId="5FDDFA28"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28. Komisijas lēmumu var apstrīdēt Nodibinājuma valdes priekšsēdētājai, iesniedzot sūdzību 10 (desmit) dienu laikā pēc lēmuma paziņošanas.</w:t>
      </w:r>
    </w:p>
    <w:p w14:paraId="61D2AE1D"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29. Pamatojoties uz Komisijas lēmumu par līdzfinansējuma piešķiršanu, Nodibinājums un pretendents slēdz finansēšanas līgumu par līdzfinansējuma piešķiršanas, izlietošanas un atskaišu iesniegšanas kārtību.</w:t>
      </w:r>
    </w:p>
    <w:p w14:paraId="6A6E89B7"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30. Līdzfinansējuma saņēmējam ir pienākums:</w:t>
      </w:r>
    </w:p>
    <w:p w14:paraId="2DA62300"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30.1. iesniegt pārskatu par līdzfinansējuma izlietojumu, t. sk. pēc pieprasījuma uzrādīt grāmatvedības pamatojuma dokumentus;</w:t>
      </w:r>
    </w:p>
    <w:p w14:paraId="59997198"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30.2. atmaksāt līdzfinansējumu vai tā daļu, ja tas tika saņemts, sniedzot nepatiesu vai nepilnīgu informāciju vai nepaziņojot par apstākļiem, kuri ietekmē tiesības uz līdzfinansējuma saņemšanu;</w:t>
      </w:r>
    </w:p>
    <w:p w14:paraId="6EA7AFB4"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30.3. atmaksāt saņemtā līdzfinansējuma daļu, kura izlietota, neievērojot finansēšanas līguma nosacījumus.</w:t>
      </w:r>
    </w:p>
    <w:p w14:paraId="320C8447" w14:textId="77777777" w:rsidR="00910F46" w:rsidRDefault="00000000">
      <w:pPr>
        <w:spacing w:line="360" w:lineRule="auto"/>
        <w:ind w:left="360" w:hanging="360"/>
        <w:jc w:val="both"/>
        <w:rPr>
          <w:rFonts w:ascii="Arial" w:eastAsia="Arial" w:hAnsi="Arial" w:cs="Arial"/>
          <w:sz w:val="22"/>
          <w:szCs w:val="22"/>
        </w:rPr>
      </w:pPr>
      <w:r>
        <w:rPr>
          <w:rFonts w:ascii="Arial" w:eastAsia="Arial" w:hAnsi="Arial" w:cs="Arial"/>
          <w:sz w:val="22"/>
          <w:szCs w:val="22"/>
        </w:rPr>
        <w:t>31. Ja līdzfinansējums netiek izlietots iepriekš paredzētajiem mērķiem, netiek izlietots vai tiek izlietots daļēji, tad tā saņēmējs atmaksā Nodibinājumam neizlietoto līdzfinansējuma daļu vai neatbilstoši piešķiršanas mērķim izlietotu līdzfinansējumu finansēšanas līgumā noteiktajā kārtībā.</w:t>
      </w:r>
    </w:p>
    <w:p w14:paraId="253B633F" w14:textId="77777777" w:rsidR="00910F46" w:rsidRDefault="00910F46">
      <w:pPr>
        <w:spacing w:line="360" w:lineRule="auto"/>
        <w:ind w:left="360" w:hanging="360"/>
        <w:rPr>
          <w:rFonts w:ascii="Arial" w:eastAsia="Arial" w:hAnsi="Arial" w:cs="Arial"/>
          <w:b/>
          <w:sz w:val="22"/>
          <w:szCs w:val="22"/>
        </w:rPr>
      </w:pPr>
    </w:p>
    <w:p w14:paraId="725B3E5A" w14:textId="77777777" w:rsidR="00910F46" w:rsidRDefault="00000000">
      <w:pPr>
        <w:spacing w:line="360" w:lineRule="auto"/>
        <w:ind w:left="360" w:hanging="360"/>
        <w:rPr>
          <w:rFonts w:ascii="Arial" w:eastAsia="Arial" w:hAnsi="Arial" w:cs="Arial"/>
          <w:sz w:val="22"/>
          <w:szCs w:val="22"/>
        </w:rPr>
      </w:pPr>
      <w:r>
        <w:rPr>
          <w:rFonts w:ascii="Arial" w:eastAsia="Arial" w:hAnsi="Arial" w:cs="Arial"/>
          <w:sz w:val="22"/>
          <w:szCs w:val="22"/>
        </w:rPr>
        <w:t>Nolikumam ir sekojoši pielikumi:</w:t>
      </w:r>
    </w:p>
    <w:p w14:paraId="3173F410" w14:textId="77777777" w:rsidR="00910F46" w:rsidRDefault="00000000">
      <w:pPr>
        <w:numPr>
          <w:ilvl w:val="0"/>
          <w:numId w:val="3"/>
        </w:numPr>
        <w:pBdr>
          <w:top w:val="nil"/>
          <w:left w:val="nil"/>
          <w:bottom w:val="nil"/>
          <w:right w:val="nil"/>
          <w:between w:val="nil"/>
        </w:pBdr>
        <w:spacing w:line="360" w:lineRule="auto"/>
        <w:ind w:left="360"/>
        <w:rPr>
          <w:rFonts w:ascii="Arial" w:eastAsia="Arial" w:hAnsi="Arial" w:cs="Arial"/>
          <w:color w:val="000000"/>
          <w:sz w:val="22"/>
          <w:szCs w:val="22"/>
        </w:rPr>
      </w:pPr>
      <w:r>
        <w:rPr>
          <w:rFonts w:ascii="Arial" w:eastAsia="Arial" w:hAnsi="Arial" w:cs="Arial"/>
          <w:color w:val="000000"/>
          <w:sz w:val="22"/>
          <w:szCs w:val="22"/>
        </w:rPr>
        <w:t>Pielikums – Pieteikuma forma;</w:t>
      </w:r>
    </w:p>
    <w:p w14:paraId="4866DCE8" w14:textId="77777777" w:rsidR="00910F46" w:rsidRDefault="00000000">
      <w:pPr>
        <w:numPr>
          <w:ilvl w:val="0"/>
          <w:numId w:val="3"/>
        </w:numPr>
        <w:pBdr>
          <w:top w:val="nil"/>
          <w:left w:val="nil"/>
          <w:bottom w:val="nil"/>
          <w:right w:val="nil"/>
          <w:between w:val="nil"/>
        </w:pBdr>
        <w:spacing w:line="360" w:lineRule="auto"/>
        <w:ind w:left="360"/>
        <w:rPr>
          <w:rFonts w:ascii="Arial" w:eastAsia="Arial" w:hAnsi="Arial" w:cs="Arial"/>
          <w:color w:val="000000"/>
          <w:sz w:val="22"/>
          <w:szCs w:val="22"/>
        </w:rPr>
      </w:pPr>
      <w:r>
        <w:rPr>
          <w:rFonts w:ascii="Arial" w:eastAsia="Arial" w:hAnsi="Arial" w:cs="Arial"/>
          <w:color w:val="000000"/>
          <w:sz w:val="22"/>
          <w:szCs w:val="22"/>
        </w:rPr>
        <w:t>Pielikums – Vadlīnijas;</w:t>
      </w:r>
    </w:p>
    <w:p w14:paraId="2D359AFB" w14:textId="77777777" w:rsidR="00910F46" w:rsidRDefault="00000000">
      <w:pPr>
        <w:numPr>
          <w:ilvl w:val="0"/>
          <w:numId w:val="3"/>
        </w:numPr>
        <w:pBdr>
          <w:top w:val="nil"/>
          <w:left w:val="nil"/>
          <w:bottom w:val="nil"/>
          <w:right w:val="nil"/>
          <w:between w:val="nil"/>
        </w:pBdr>
        <w:spacing w:line="360" w:lineRule="auto"/>
        <w:ind w:left="360"/>
        <w:rPr>
          <w:rFonts w:ascii="Arial" w:eastAsia="Arial" w:hAnsi="Arial" w:cs="Arial"/>
          <w:color w:val="000000"/>
          <w:sz w:val="22"/>
          <w:szCs w:val="22"/>
        </w:rPr>
      </w:pPr>
      <w:r>
        <w:rPr>
          <w:rFonts w:ascii="Arial" w:eastAsia="Arial" w:hAnsi="Arial" w:cs="Arial"/>
          <w:color w:val="000000"/>
          <w:sz w:val="22"/>
          <w:szCs w:val="22"/>
        </w:rPr>
        <w:t>Pielikums – Tāmes forma;</w:t>
      </w:r>
    </w:p>
    <w:p w14:paraId="7C875BD5" w14:textId="77777777" w:rsidR="00910F46" w:rsidRDefault="00000000">
      <w:pPr>
        <w:numPr>
          <w:ilvl w:val="0"/>
          <w:numId w:val="3"/>
        </w:numPr>
        <w:pBdr>
          <w:top w:val="nil"/>
          <w:left w:val="nil"/>
          <w:bottom w:val="nil"/>
          <w:right w:val="nil"/>
          <w:between w:val="nil"/>
        </w:pBdr>
        <w:spacing w:after="160" w:line="360" w:lineRule="auto"/>
        <w:ind w:left="360"/>
        <w:rPr>
          <w:rFonts w:ascii="Arial" w:eastAsia="Arial" w:hAnsi="Arial" w:cs="Arial"/>
          <w:color w:val="000000"/>
          <w:sz w:val="22"/>
          <w:szCs w:val="22"/>
        </w:rPr>
      </w:pPr>
      <w:r>
        <w:rPr>
          <w:rFonts w:ascii="Arial" w:eastAsia="Arial" w:hAnsi="Arial" w:cs="Arial"/>
          <w:color w:val="000000"/>
          <w:sz w:val="22"/>
          <w:szCs w:val="22"/>
        </w:rPr>
        <w:t xml:space="preserve">Pielikums – Līguma projekts. </w:t>
      </w:r>
    </w:p>
    <w:p w14:paraId="6FDAF39C" w14:textId="77777777" w:rsidR="00910F46" w:rsidRDefault="00000000">
      <w:pPr>
        <w:spacing w:line="360" w:lineRule="auto"/>
        <w:rPr>
          <w:rFonts w:ascii="Arial" w:eastAsia="Arial" w:hAnsi="Arial" w:cs="Arial"/>
          <w:sz w:val="22"/>
          <w:szCs w:val="22"/>
        </w:rPr>
      </w:pPr>
      <w:r>
        <w:rPr>
          <w:rFonts w:ascii="Arial" w:eastAsia="Arial" w:hAnsi="Arial" w:cs="Arial"/>
          <w:sz w:val="22"/>
          <w:szCs w:val="22"/>
        </w:rPr>
        <w:t>Nodibinājuma vārdā:</w:t>
      </w:r>
    </w:p>
    <w:p w14:paraId="3DC0A3FA" w14:textId="77777777" w:rsidR="00910F46" w:rsidRDefault="00000000">
      <w:pPr>
        <w:spacing w:line="360" w:lineRule="auto"/>
        <w:rPr>
          <w:rFonts w:ascii="Arial" w:eastAsia="Arial" w:hAnsi="Arial" w:cs="Arial"/>
          <w:sz w:val="22"/>
          <w:szCs w:val="22"/>
        </w:rPr>
      </w:pPr>
      <w:r>
        <w:rPr>
          <w:rFonts w:ascii="Arial" w:eastAsia="Arial" w:hAnsi="Arial" w:cs="Arial"/>
          <w:sz w:val="22"/>
          <w:szCs w:val="22"/>
        </w:rPr>
        <w:t xml:space="preserve">Inta Šoriņa, valdes priekšsēdētāja </w:t>
      </w:r>
    </w:p>
    <w:p w14:paraId="225F94D9" w14:textId="77777777" w:rsidR="00910F46" w:rsidRDefault="00000000">
      <w:pPr>
        <w:spacing w:line="360" w:lineRule="auto"/>
        <w:rPr>
          <w:rFonts w:ascii="Arial" w:eastAsia="Arial" w:hAnsi="Arial" w:cs="Arial"/>
          <w:sz w:val="22"/>
          <w:szCs w:val="22"/>
        </w:rPr>
      </w:pPr>
      <w:r>
        <w:rPr>
          <w:rFonts w:ascii="Arial" w:eastAsia="Arial" w:hAnsi="Arial" w:cs="Arial"/>
          <w:sz w:val="22"/>
          <w:szCs w:val="22"/>
        </w:rPr>
        <w:t xml:space="preserve">Eva </w:t>
      </w:r>
      <w:proofErr w:type="spellStart"/>
      <w:r>
        <w:rPr>
          <w:rFonts w:ascii="Arial" w:eastAsia="Arial" w:hAnsi="Arial" w:cs="Arial"/>
          <w:sz w:val="22"/>
          <w:szCs w:val="22"/>
        </w:rPr>
        <w:t>Ciekurze</w:t>
      </w:r>
      <w:proofErr w:type="spellEnd"/>
      <w:r>
        <w:rPr>
          <w:rFonts w:ascii="Arial" w:eastAsia="Arial" w:hAnsi="Arial" w:cs="Arial"/>
          <w:sz w:val="22"/>
          <w:szCs w:val="22"/>
        </w:rPr>
        <w:t xml:space="preserve">, valdes locekle </w:t>
      </w:r>
    </w:p>
    <w:p w14:paraId="47DE194E" w14:textId="77777777" w:rsidR="00910F46" w:rsidRDefault="00000000">
      <w:pPr>
        <w:spacing w:line="360" w:lineRule="auto"/>
        <w:rPr>
          <w:rFonts w:ascii="Arial" w:eastAsia="Arial" w:hAnsi="Arial" w:cs="Arial"/>
          <w:sz w:val="22"/>
          <w:szCs w:val="22"/>
        </w:rPr>
      </w:pPr>
      <w:r>
        <w:rPr>
          <w:rFonts w:ascii="Arial" w:eastAsia="Arial" w:hAnsi="Arial" w:cs="Arial"/>
          <w:sz w:val="22"/>
          <w:szCs w:val="22"/>
        </w:rPr>
        <w:t>Baiba Bartkeviča, valdes locekle</w:t>
      </w:r>
    </w:p>
    <w:sectPr w:rsidR="00910F46">
      <w:footerReference w:type="even" r:id="rId12"/>
      <w:footerReference w:type="default" r:id="rId13"/>
      <w:pgSz w:w="12240" w:h="15840"/>
      <w:pgMar w:top="1440" w:right="1440" w:bottom="1440" w:left="1440" w:header="144" w:footer="14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26C2AB" w14:textId="77777777" w:rsidR="00EF79EE" w:rsidRDefault="00EF79EE">
      <w:r>
        <w:separator/>
      </w:r>
    </w:p>
  </w:endnote>
  <w:endnote w:type="continuationSeparator" w:id="0">
    <w:p w14:paraId="75E9691A" w14:textId="77777777" w:rsidR="00EF79EE" w:rsidRDefault="00EF7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1" w:fontKey="{F5A625EB-2C2B-4DD0-8CF7-E0E8B11E7820}"/>
  </w:font>
  <w:font w:name="Aptos">
    <w:charset w:val="00"/>
    <w:family w:val="swiss"/>
    <w:pitch w:val="variable"/>
    <w:sig w:usb0="20000287" w:usb1="00000003" w:usb2="00000000" w:usb3="00000000" w:csb0="0000019F" w:csb1="00000000"/>
    <w:embedRegular r:id="rId2" w:fontKey="{9581D613-E882-4B4F-9ED7-0F582D94D1BC}"/>
  </w:font>
  <w:font w:name="Segoe UI">
    <w:panose1 w:val="020B0502040204020203"/>
    <w:charset w:val="BA"/>
    <w:family w:val="swiss"/>
    <w:pitch w:val="variable"/>
    <w:sig w:usb0="E4002EFF" w:usb1="C000E47F" w:usb2="00000009" w:usb3="00000000" w:csb0="000001FF" w:csb1="00000000"/>
    <w:embedRegular r:id="rId3" w:fontKey="{4111F8EC-B773-42F8-966B-9A65A08609BF}"/>
  </w:font>
  <w:font w:name="Arial">
    <w:panose1 w:val="020B0604020202020204"/>
    <w:charset w:val="BA"/>
    <w:family w:val="swiss"/>
    <w:pitch w:val="variable"/>
    <w:sig w:usb0="E0002EFF" w:usb1="C000785B" w:usb2="00000009" w:usb3="00000000" w:csb0="000001FF" w:csb1="00000000"/>
  </w:font>
  <w:font w:name="Cambria Math">
    <w:panose1 w:val="02040503050406030204"/>
    <w:charset w:val="BA"/>
    <w:family w:val="roman"/>
    <w:pitch w:val="variable"/>
    <w:sig w:usb0="E00006FF" w:usb1="420024FF" w:usb2="02000000" w:usb3="00000000" w:csb0="0000019F" w:csb1="00000000"/>
    <w:embedRegular r:id="rId4" w:fontKey="{A021A4A0-0953-49C9-883A-120DB99391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4332F" w14:textId="77777777" w:rsidR="00910F46"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FCC4732" w14:textId="77777777" w:rsidR="00910F46" w:rsidRDefault="00910F46">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05B2E" w14:textId="77777777" w:rsidR="00910F46" w:rsidRDefault="00000000">
    <w:pPr>
      <w:pBdr>
        <w:top w:val="nil"/>
        <w:left w:val="nil"/>
        <w:bottom w:val="nil"/>
        <w:right w:val="nil"/>
        <w:between w:val="nil"/>
      </w:pBdr>
      <w:tabs>
        <w:tab w:val="center" w:pos="4680"/>
        <w:tab w:val="right" w:pos="9360"/>
      </w:tabs>
      <w:jc w:val="center"/>
      <w:rPr>
        <w:rFonts w:ascii="Arial" w:eastAsia="Arial" w:hAnsi="Arial" w:cs="Arial"/>
        <w:color w:val="000000"/>
        <w:sz w:val="18"/>
        <w:szCs w:val="18"/>
      </w:rPr>
    </w:pP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487441">
      <w:rPr>
        <w:rFonts w:ascii="Arial" w:eastAsia="Arial" w:hAnsi="Arial" w:cs="Arial"/>
        <w:noProof/>
        <w:color w:val="000000"/>
        <w:sz w:val="18"/>
        <w:szCs w:val="18"/>
      </w:rPr>
      <w:t>1</w:t>
    </w:r>
    <w:r>
      <w:rPr>
        <w:rFonts w:ascii="Arial" w:eastAsia="Arial" w:hAnsi="Arial" w:cs="Arial"/>
        <w:color w:val="000000"/>
        <w:sz w:val="18"/>
        <w:szCs w:val="18"/>
      </w:rPr>
      <w:fldChar w:fldCharType="end"/>
    </w:r>
  </w:p>
  <w:p w14:paraId="5346A3D0" w14:textId="77777777" w:rsidR="00910F46" w:rsidRDefault="00910F46">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F20329" w14:textId="77777777" w:rsidR="00EF79EE" w:rsidRDefault="00EF79EE">
      <w:r>
        <w:separator/>
      </w:r>
    </w:p>
  </w:footnote>
  <w:footnote w:type="continuationSeparator" w:id="0">
    <w:p w14:paraId="163A79BA" w14:textId="77777777" w:rsidR="00EF79EE" w:rsidRDefault="00EF79EE">
      <w:r>
        <w:continuationSeparator/>
      </w:r>
    </w:p>
  </w:footnote>
  <w:footnote w:id="1">
    <w:p w14:paraId="2151E66A" w14:textId="77777777" w:rsidR="00910F46" w:rsidRDefault="00000000">
      <w:pPr>
        <w:pBdr>
          <w:top w:val="nil"/>
          <w:left w:val="nil"/>
          <w:bottom w:val="nil"/>
          <w:right w:val="nil"/>
          <w:between w:val="nil"/>
        </w:pBdr>
        <w:jc w:val="both"/>
        <w:rPr>
          <w:rFonts w:ascii="Arial" w:eastAsia="Arial" w:hAnsi="Arial" w:cs="Arial"/>
          <w:color w:val="000000"/>
          <w:sz w:val="18"/>
          <w:szCs w:val="18"/>
        </w:rPr>
      </w:pPr>
      <w:r>
        <w:rPr>
          <w:rStyle w:val="Vresatsauce"/>
        </w:rPr>
        <w:footnoteRef/>
      </w:r>
      <w:r>
        <w:rPr>
          <w:rFonts w:ascii="Arial" w:eastAsia="Arial" w:hAnsi="Arial" w:cs="Arial"/>
          <w:color w:val="000000"/>
          <w:sz w:val="18"/>
          <w:szCs w:val="18"/>
        </w:rPr>
        <w:t xml:space="preserve"> Ilgtspējīgu un pārstrādājamu materiālu izmantošana, atkārtoti izmantojamu dekorāciju un būvju pielietošana, resursu patēriņa (ūdens, elektrības, degvielas) samazināšana, digitālas komunikācijas priekšrocību izmantošana, pēc iespējas mazāks CO</w:t>
      </w:r>
      <w:r>
        <w:rPr>
          <w:rFonts w:ascii="Cambria Math" w:eastAsia="Cambria Math" w:hAnsi="Cambria Math" w:cs="Cambria Math"/>
          <w:color w:val="000000"/>
          <w:sz w:val="18"/>
          <w:szCs w:val="18"/>
        </w:rPr>
        <w:t>₂</w:t>
      </w:r>
      <w:r>
        <w:rPr>
          <w:rFonts w:ascii="Arial" w:eastAsia="Arial" w:hAnsi="Arial" w:cs="Arial"/>
          <w:color w:val="000000"/>
          <w:sz w:val="18"/>
          <w:szCs w:val="18"/>
        </w:rPr>
        <w:t xml:space="preserve"> emisiju apjoms visos posmos, u.tml.</w:t>
      </w:r>
    </w:p>
  </w:footnote>
  <w:footnote w:id="2">
    <w:p w14:paraId="5E014147" w14:textId="77777777" w:rsidR="00910F46" w:rsidRDefault="00000000">
      <w:pPr>
        <w:pBdr>
          <w:top w:val="nil"/>
          <w:left w:val="nil"/>
          <w:bottom w:val="nil"/>
          <w:right w:val="nil"/>
          <w:between w:val="nil"/>
        </w:pBdr>
        <w:jc w:val="both"/>
        <w:rPr>
          <w:rFonts w:ascii="Arial" w:eastAsia="Arial" w:hAnsi="Arial" w:cs="Arial"/>
          <w:color w:val="000000"/>
          <w:sz w:val="20"/>
          <w:szCs w:val="20"/>
        </w:rPr>
      </w:pPr>
      <w:r>
        <w:rPr>
          <w:rStyle w:val="Vresatsauce"/>
        </w:rPr>
        <w:footnoteRef/>
      </w:r>
      <w:r>
        <w:rPr>
          <w:rFonts w:ascii="Arial" w:eastAsia="Arial" w:hAnsi="Arial" w:cs="Arial"/>
          <w:color w:val="000000"/>
          <w:sz w:val="18"/>
          <w:szCs w:val="18"/>
        </w:rPr>
        <w:t xml:space="preserve"> </w:t>
      </w:r>
      <w:r>
        <w:rPr>
          <w:rFonts w:ascii="Arial" w:eastAsia="Arial" w:hAnsi="Arial" w:cs="Arial"/>
          <w:color w:val="000000"/>
          <w:sz w:val="18"/>
          <w:szCs w:val="18"/>
        </w:rPr>
        <w:t xml:space="preserve">Pasākuma plānošanā un īstenošanā iekļautas aktivitātes, kas samazina ietekmi uz vidi – piemēram, atkritumu samazināšana, otrreizēja izmantošana, atbildīga transporta loģistika, atjaunojamās enerģijas izmantošana, </w:t>
      </w:r>
      <w:proofErr w:type="spellStart"/>
      <w:r>
        <w:rPr>
          <w:rFonts w:ascii="Arial" w:eastAsia="Arial" w:hAnsi="Arial" w:cs="Arial"/>
          <w:color w:val="000000"/>
          <w:sz w:val="18"/>
          <w:szCs w:val="18"/>
        </w:rPr>
        <w:t>bezpapīra</w:t>
      </w:r>
      <w:proofErr w:type="spellEnd"/>
      <w:r>
        <w:rPr>
          <w:rFonts w:ascii="Arial" w:eastAsia="Arial" w:hAnsi="Arial" w:cs="Arial"/>
          <w:color w:val="000000"/>
          <w:sz w:val="18"/>
          <w:szCs w:val="18"/>
        </w:rPr>
        <w:t xml:space="preserve"> komunikācija, u.c.</w:t>
      </w:r>
    </w:p>
  </w:footnote>
  <w:footnote w:id="3">
    <w:p w14:paraId="713239A6" w14:textId="77777777" w:rsidR="00910F46" w:rsidRDefault="00000000">
      <w:pPr>
        <w:jc w:val="both"/>
        <w:rPr>
          <w:rFonts w:ascii="Arial" w:eastAsia="Arial" w:hAnsi="Arial" w:cs="Arial"/>
          <w:sz w:val="20"/>
          <w:szCs w:val="20"/>
        </w:rPr>
      </w:pPr>
      <w:r>
        <w:rPr>
          <w:rStyle w:val="Vresatsauce"/>
        </w:rPr>
        <w:footnoteRef/>
      </w:r>
      <w:r>
        <w:rPr>
          <w:rFonts w:ascii="Arial" w:eastAsia="Arial" w:hAnsi="Arial" w:cs="Arial"/>
          <w:sz w:val="20"/>
          <w:szCs w:val="20"/>
        </w:rPr>
        <w:t xml:space="preserve"> </w:t>
      </w:r>
      <w:r>
        <w:rPr>
          <w:rFonts w:ascii="Arial" w:eastAsia="Arial" w:hAnsi="Arial" w:cs="Arial"/>
          <w:sz w:val="20"/>
          <w:szCs w:val="20"/>
        </w:rPr>
        <w:t>Par samērīgu tiek uzskatīts auditorijas skaits, kas ir proporcionāls pasākuma mērogam un pieprasītajam finansējumam, ņemot vērā programmas raksturu un pieejamību.</w:t>
      </w:r>
    </w:p>
    <w:p w14:paraId="2EDA94FC" w14:textId="77777777" w:rsidR="00910F46" w:rsidRDefault="00910F46">
      <w:pPr>
        <w:pBdr>
          <w:top w:val="nil"/>
          <w:left w:val="nil"/>
          <w:bottom w:val="nil"/>
          <w:right w:val="nil"/>
          <w:between w:val="nil"/>
        </w:pBdr>
        <w:rPr>
          <w:rFonts w:ascii="Arial" w:eastAsia="Arial" w:hAnsi="Arial" w:cs="Arial"/>
          <w:color w:val="000000"/>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803821"/>
    <w:multiLevelType w:val="multilevel"/>
    <w:tmpl w:val="17ECF6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72074DA"/>
    <w:multiLevelType w:val="multilevel"/>
    <w:tmpl w:val="4DC4CB6E"/>
    <w:lvl w:ilvl="0">
      <w:start w:val="3"/>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7E821D27"/>
    <w:multiLevelType w:val="multilevel"/>
    <w:tmpl w:val="28F210BA"/>
    <w:lvl w:ilvl="0">
      <w:start w:val="11"/>
      <w:numFmt w:val="decimal"/>
      <w:lvlText w:val="%1."/>
      <w:lvlJc w:val="left"/>
      <w:pPr>
        <w:ind w:left="440" w:hanging="440"/>
      </w:pPr>
    </w:lvl>
    <w:lvl w:ilvl="1">
      <w:start w:val="4"/>
      <w:numFmt w:val="decimal"/>
      <w:lvlText w:val="%1.%2."/>
      <w:lvlJc w:val="left"/>
      <w:pPr>
        <w:ind w:left="440" w:hanging="4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255936452">
    <w:abstractNumId w:val="2"/>
  </w:num>
  <w:num w:numId="2" w16cid:durableId="2052917720">
    <w:abstractNumId w:val="1"/>
  </w:num>
  <w:num w:numId="3" w16cid:durableId="875101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F46"/>
    <w:rsid w:val="00487441"/>
    <w:rsid w:val="00827752"/>
    <w:rsid w:val="00910F46"/>
    <w:rsid w:val="00EF79E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F85B8"/>
  <w15:docId w15:val="{F5E24A85-F391-4A76-A299-F6EA879DB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155C27"/>
  </w:style>
  <w:style w:type="paragraph" w:styleId="Virsraksts1">
    <w:name w:val="heading 1"/>
    <w:basedOn w:val="Parasts"/>
    <w:next w:val="Parasts"/>
    <w:link w:val="Virsraksts1Rakstz"/>
    <w:uiPriority w:val="9"/>
    <w:qFormat/>
    <w:rsid w:val="00155C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Virsraksts2">
    <w:name w:val="heading 2"/>
    <w:basedOn w:val="Parasts"/>
    <w:next w:val="Parasts"/>
    <w:link w:val="Virsraksts2Rakstz"/>
    <w:uiPriority w:val="9"/>
    <w:semiHidden/>
    <w:unhideWhenUsed/>
    <w:qFormat/>
    <w:rsid w:val="00155C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Virsraksts3">
    <w:name w:val="heading 3"/>
    <w:basedOn w:val="Parasts"/>
    <w:next w:val="Parasts"/>
    <w:link w:val="Virsraksts3Rakstz"/>
    <w:uiPriority w:val="9"/>
    <w:semiHidden/>
    <w:unhideWhenUsed/>
    <w:qFormat/>
    <w:rsid w:val="00155C27"/>
    <w:pPr>
      <w:keepNext/>
      <w:keepLines/>
      <w:spacing w:before="160" w:after="80"/>
      <w:outlineLvl w:val="2"/>
    </w:pPr>
    <w:rPr>
      <w:rFonts w:eastAsiaTheme="majorEastAsia" w:cstheme="majorBidi"/>
      <w:color w:val="0F4761" w:themeColor="accent1" w:themeShade="BF"/>
      <w:sz w:val="28"/>
      <w:szCs w:val="28"/>
    </w:rPr>
  </w:style>
  <w:style w:type="paragraph" w:styleId="Virsraksts4">
    <w:name w:val="heading 4"/>
    <w:basedOn w:val="Parasts"/>
    <w:next w:val="Parasts"/>
    <w:link w:val="Virsraksts4Rakstz"/>
    <w:uiPriority w:val="9"/>
    <w:semiHidden/>
    <w:unhideWhenUsed/>
    <w:qFormat/>
    <w:rsid w:val="00155C27"/>
    <w:pPr>
      <w:keepNext/>
      <w:keepLines/>
      <w:spacing w:before="80" w:after="40"/>
      <w:outlineLvl w:val="3"/>
    </w:pPr>
    <w:rPr>
      <w:rFonts w:eastAsiaTheme="majorEastAsia" w:cstheme="majorBidi"/>
      <w:i/>
      <w:iCs/>
      <w:color w:val="0F4761" w:themeColor="accent1" w:themeShade="BF"/>
    </w:rPr>
  </w:style>
  <w:style w:type="paragraph" w:styleId="Virsraksts5">
    <w:name w:val="heading 5"/>
    <w:basedOn w:val="Parasts"/>
    <w:next w:val="Parasts"/>
    <w:link w:val="Virsraksts5Rakstz"/>
    <w:uiPriority w:val="9"/>
    <w:semiHidden/>
    <w:unhideWhenUsed/>
    <w:qFormat/>
    <w:rsid w:val="00155C27"/>
    <w:pPr>
      <w:keepNext/>
      <w:keepLines/>
      <w:spacing w:before="80" w:after="40"/>
      <w:outlineLvl w:val="4"/>
    </w:pPr>
    <w:rPr>
      <w:rFonts w:eastAsiaTheme="majorEastAsia" w:cstheme="majorBidi"/>
      <w:color w:val="0F4761" w:themeColor="accent1" w:themeShade="BF"/>
    </w:rPr>
  </w:style>
  <w:style w:type="paragraph" w:styleId="Virsraksts6">
    <w:name w:val="heading 6"/>
    <w:basedOn w:val="Parasts"/>
    <w:next w:val="Parasts"/>
    <w:link w:val="Virsraksts6Rakstz"/>
    <w:uiPriority w:val="9"/>
    <w:semiHidden/>
    <w:unhideWhenUsed/>
    <w:qFormat/>
    <w:rsid w:val="00155C27"/>
    <w:pPr>
      <w:keepNext/>
      <w:keepLines/>
      <w:spacing w:before="4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155C27"/>
    <w:pPr>
      <w:keepNext/>
      <w:keepLines/>
      <w:spacing w:before="4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155C27"/>
    <w:pPr>
      <w:keepNext/>
      <w:keepLines/>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155C27"/>
    <w:pPr>
      <w:keepNext/>
      <w:keepLines/>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osaukums">
    <w:name w:val="Title"/>
    <w:basedOn w:val="Parasts"/>
    <w:next w:val="Parasts"/>
    <w:link w:val="NosaukumsRakstz"/>
    <w:uiPriority w:val="10"/>
    <w:qFormat/>
    <w:rsid w:val="00155C27"/>
    <w:pPr>
      <w:spacing w:after="80"/>
      <w:contextualSpacing/>
    </w:pPr>
    <w:rPr>
      <w:rFonts w:asciiTheme="majorHAnsi" w:eastAsiaTheme="majorEastAsia" w:hAnsiTheme="majorHAnsi" w:cstheme="majorBidi"/>
      <w:spacing w:val="-10"/>
      <w:kern w:val="28"/>
      <w:sz w:val="56"/>
      <w:szCs w:val="56"/>
    </w:rPr>
  </w:style>
  <w:style w:type="character" w:customStyle="1" w:styleId="Virsraksts1Rakstz">
    <w:name w:val="Virsraksts 1 Rakstz."/>
    <w:basedOn w:val="Noklusjumarindkopasfonts"/>
    <w:link w:val="Virsraksts1"/>
    <w:uiPriority w:val="9"/>
    <w:rsid w:val="00155C27"/>
    <w:rPr>
      <w:rFonts w:asciiTheme="majorHAnsi" w:eastAsiaTheme="majorEastAsia" w:hAnsiTheme="majorHAnsi" w:cstheme="majorBidi"/>
      <w:color w:val="0F4761" w:themeColor="accent1" w:themeShade="BF"/>
      <w:sz w:val="40"/>
      <w:szCs w:val="40"/>
    </w:rPr>
  </w:style>
  <w:style w:type="character" w:customStyle="1" w:styleId="Virsraksts2Rakstz">
    <w:name w:val="Virsraksts 2 Rakstz."/>
    <w:basedOn w:val="Noklusjumarindkopasfonts"/>
    <w:link w:val="Virsraksts2"/>
    <w:uiPriority w:val="9"/>
    <w:semiHidden/>
    <w:rsid w:val="00155C27"/>
    <w:rPr>
      <w:rFonts w:asciiTheme="majorHAnsi" w:eastAsiaTheme="majorEastAsia" w:hAnsiTheme="majorHAnsi" w:cstheme="majorBidi"/>
      <w:color w:val="0F4761" w:themeColor="accent1" w:themeShade="BF"/>
      <w:sz w:val="32"/>
      <w:szCs w:val="32"/>
    </w:rPr>
  </w:style>
  <w:style w:type="character" w:customStyle="1" w:styleId="Virsraksts3Rakstz">
    <w:name w:val="Virsraksts 3 Rakstz."/>
    <w:basedOn w:val="Noklusjumarindkopasfonts"/>
    <w:link w:val="Virsraksts3"/>
    <w:uiPriority w:val="9"/>
    <w:semiHidden/>
    <w:rsid w:val="00155C27"/>
    <w:rPr>
      <w:rFonts w:eastAsiaTheme="majorEastAsia" w:cstheme="majorBidi"/>
      <w:color w:val="0F4761" w:themeColor="accent1" w:themeShade="BF"/>
      <w:sz w:val="28"/>
      <w:szCs w:val="28"/>
    </w:rPr>
  </w:style>
  <w:style w:type="character" w:customStyle="1" w:styleId="Virsraksts4Rakstz">
    <w:name w:val="Virsraksts 4 Rakstz."/>
    <w:basedOn w:val="Noklusjumarindkopasfonts"/>
    <w:link w:val="Virsraksts4"/>
    <w:uiPriority w:val="9"/>
    <w:semiHidden/>
    <w:rsid w:val="00155C27"/>
    <w:rPr>
      <w:rFonts w:eastAsiaTheme="majorEastAsia" w:cstheme="majorBidi"/>
      <w:i/>
      <w:iCs/>
      <w:color w:val="0F4761" w:themeColor="accent1" w:themeShade="BF"/>
    </w:rPr>
  </w:style>
  <w:style w:type="character" w:customStyle="1" w:styleId="Virsraksts5Rakstz">
    <w:name w:val="Virsraksts 5 Rakstz."/>
    <w:basedOn w:val="Noklusjumarindkopasfonts"/>
    <w:link w:val="Virsraksts5"/>
    <w:uiPriority w:val="9"/>
    <w:semiHidden/>
    <w:rsid w:val="00155C27"/>
    <w:rPr>
      <w:rFonts w:eastAsiaTheme="majorEastAsia" w:cstheme="majorBidi"/>
      <w:color w:val="0F4761" w:themeColor="accent1" w:themeShade="BF"/>
    </w:rPr>
  </w:style>
  <w:style w:type="character" w:customStyle="1" w:styleId="Virsraksts6Rakstz">
    <w:name w:val="Virsraksts 6 Rakstz."/>
    <w:basedOn w:val="Noklusjumarindkopasfonts"/>
    <w:link w:val="Virsraksts6"/>
    <w:uiPriority w:val="9"/>
    <w:semiHidden/>
    <w:rsid w:val="00155C27"/>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155C27"/>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155C27"/>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155C27"/>
    <w:rPr>
      <w:rFonts w:eastAsiaTheme="majorEastAsia" w:cstheme="majorBidi"/>
      <w:color w:val="272727" w:themeColor="text1" w:themeTint="D8"/>
    </w:rPr>
  </w:style>
  <w:style w:type="character" w:customStyle="1" w:styleId="NosaukumsRakstz">
    <w:name w:val="Nosaukums Rakstz."/>
    <w:basedOn w:val="Noklusjumarindkopasfonts"/>
    <w:link w:val="Nosaukums"/>
    <w:uiPriority w:val="10"/>
    <w:rsid w:val="00155C27"/>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Pr>
      <w:color w:val="595959"/>
      <w:sz w:val="28"/>
      <w:szCs w:val="28"/>
    </w:rPr>
  </w:style>
  <w:style w:type="character" w:customStyle="1" w:styleId="ApakvirsrakstsRakstz">
    <w:name w:val="Apakšvirsraksts Rakstz."/>
    <w:basedOn w:val="Noklusjumarindkopasfonts"/>
    <w:link w:val="Apakvirsraksts"/>
    <w:uiPriority w:val="11"/>
    <w:rsid w:val="00155C27"/>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155C27"/>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155C27"/>
    <w:rPr>
      <w:i/>
      <w:iCs/>
      <w:color w:val="404040" w:themeColor="text1" w:themeTint="BF"/>
    </w:rPr>
  </w:style>
  <w:style w:type="paragraph" w:styleId="Sarakstarindkopa">
    <w:name w:val="List Paragraph"/>
    <w:basedOn w:val="Parasts"/>
    <w:uiPriority w:val="34"/>
    <w:qFormat/>
    <w:rsid w:val="00155C27"/>
    <w:pPr>
      <w:ind w:left="720"/>
      <w:contextualSpacing/>
    </w:pPr>
  </w:style>
  <w:style w:type="character" w:styleId="Intensvsizclums">
    <w:name w:val="Intense Emphasis"/>
    <w:basedOn w:val="Noklusjumarindkopasfonts"/>
    <w:uiPriority w:val="21"/>
    <w:qFormat/>
    <w:rsid w:val="00155C27"/>
    <w:rPr>
      <w:i/>
      <w:iCs/>
      <w:color w:val="0F4761" w:themeColor="accent1" w:themeShade="BF"/>
    </w:rPr>
  </w:style>
  <w:style w:type="paragraph" w:styleId="Intensvscitts">
    <w:name w:val="Intense Quote"/>
    <w:basedOn w:val="Parasts"/>
    <w:next w:val="Parasts"/>
    <w:link w:val="IntensvscittsRakstz"/>
    <w:uiPriority w:val="30"/>
    <w:qFormat/>
    <w:rsid w:val="00155C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vscittsRakstz">
    <w:name w:val="Intensīvs citāts Rakstz."/>
    <w:basedOn w:val="Noklusjumarindkopasfonts"/>
    <w:link w:val="Intensvscitts"/>
    <w:uiPriority w:val="30"/>
    <w:rsid w:val="00155C27"/>
    <w:rPr>
      <w:i/>
      <w:iCs/>
      <w:color w:val="0F4761" w:themeColor="accent1" w:themeShade="BF"/>
    </w:rPr>
  </w:style>
  <w:style w:type="character" w:styleId="Intensvaatsauce">
    <w:name w:val="Intense Reference"/>
    <w:basedOn w:val="Noklusjumarindkopasfonts"/>
    <w:uiPriority w:val="32"/>
    <w:qFormat/>
    <w:rsid w:val="00155C27"/>
    <w:rPr>
      <w:b/>
      <w:bCs/>
      <w:smallCaps/>
      <w:color w:val="0F4761" w:themeColor="accent1" w:themeShade="BF"/>
      <w:spacing w:val="5"/>
    </w:rPr>
  </w:style>
  <w:style w:type="character" w:styleId="Hipersaite">
    <w:name w:val="Hyperlink"/>
    <w:basedOn w:val="Noklusjumarindkopasfonts"/>
    <w:uiPriority w:val="99"/>
    <w:unhideWhenUsed/>
    <w:rsid w:val="00155C27"/>
    <w:rPr>
      <w:color w:val="467886" w:themeColor="hyperlink"/>
      <w:u w:val="single"/>
    </w:rPr>
  </w:style>
  <w:style w:type="paragraph" w:styleId="Vresteksts">
    <w:name w:val="footnote text"/>
    <w:basedOn w:val="Parasts"/>
    <w:link w:val="VrestekstsRakstz"/>
    <w:uiPriority w:val="99"/>
    <w:semiHidden/>
    <w:unhideWhenUsed/>
    <w:rsid w:val="00155C27"/>
    <w:rPr>
      <w:rFonts w:asciiTheme="minorHAnsi" w:eastAsiaTheme="minorHAnsi" w:hAnsiTheme="minorHAnsi" w:cstheme="minorBidi"/>
      <w:kern w:val="2"/>
      <w:sz w:val="20"/>
      <w:szCs w:val="20"/>
    </w:rPr>
  </w:style>
  <w:style w:type="character" w:customStyle="1" w:styleId="VrestekstsRakstz">
    <w:name w:val="Vēres teksts Rakstz."/>
    <w:basedOn w:val="Noklusjumarindkopasfonts"/>
    <w:link w:val="Vresteksts"/>
    <w:uiPriority w:val="99"/>
    <w:semiHidden/>
    <w:rsid w:val="00155C27"/>
    <w:rPr>
      <w:sz w:val="20"/>
      <w:szCs w:val="20"/>
    </w:rPr>
  </w:style>
  <w:style w:type="character" w:styleId="Vresatsauce">
    <w:name w:val="footnote reference"/>
    <w:basedOn w:val="Noklusjumarindkopasfonts"/>
    <w:uiPriority w:val="99"/>
    <w:semiHidden/>
    <w:unhideWhenUsed/>
    <w:rsid w:val="00155C27"/>
    <w:rPr>
      <w:vertAlign w:val="superscript"/>
    </w:rPr>
  </w:style>
  <w:style w:type="character" w:styleId="Komentraatsauce">
    <w:name w:val="annotation reference"/>
    <w:basedOn w:val="Noklusjumarindkopasfonts"/>
    <w:uiPriority w:val="99"/>
    <w:semiHidden/>
    <w:unhideWhenUsed/>
    <w:rsid w:val="00155C27"/>
    <w:rPr>
      <w:sz w:val="16"/>
      <w:szCs w:val="16"/>
    </w:rPr>
  </w:style>
  <w:style w:type="paragraph" w:styleId="Komentrateksts">
    <w:name w:val="annotation text"/>
    <w:basedOn w:val="Parasts"/>
    <w:link w:val="KomentratekstsRakstz"/>
    <w:uiPriority w:val="99"/>
    <w:unhideWhenUsed/>
    <w:rsid w:val="00155C27"/>
    <w:rPr>
      <w:sz w:val="20"/>
      <w:szCs w:val="20"/>
    </w:rPr>
  </w:style>
  <w:style w:type="character" w:customStyle="1" w:styleId="KomentratekstsRakstz">
    <w:name w:val="Komentāra teksts Rakstz."/>
    <w:basedOn w:val="Noklusjumarindkopasfonts"/>
    <w:link w:val="Komentrateksts"/>
    <w:uiPriority w:val="99"/>
    <w:rsid w:val="00155C27"/>
    <w:rPr>
      <w:rFonts w:ascii="Times New Roman" w:eastAsia="Times New Roman" w:hAnsi="Times New Roman" w:cs="Times New Roman"/>
      <w:kern w:val="0"/>
      <w:sz w:val="20"/>
      <w:szCs w:val="20"/>
    </w:rPr>
  </w:style>
  <w:style w:type="paragraph" w:styleId="Kjene">
    <w:name w:val="footer"/>
    <w:basedOn w:val="Parasts"/>
    <w:link w:val="KjeneRakstz"/>
    <w:uiPriority w:val="99"/>
    <w:unhideWhenUsed/>
    <w:rsid w:val="00155C27"/>
    <w:pPr>
      <w:tabs>
        <w:tab w:val="center" w:pos="4680"/>
        <w:tab w:val="right" w:pos="9360"/>
      </w:tabs>
    </w:pPr>
  </w:style>
  <w:style w:type="character" w:customStyle="1" w:styleId="KjeneRakstz">
    <w:name w:val="Kājene Rakstz."/>
    <w:basedOn w:val="Noklusjumarindkopasfonts"/>
    <w:link w:val="Kjene"/>
    <w:uiPriority w:val="99"/>
    <w:rsid w:val="00155C27"/>
    <w:rPr>
      <w:rFonts w:ascii="Times New Roman" w:eastAsia="Times New Roman" w:hAnsi="Times New Roman" w:cs="Times New Roman"/>
      <w:kern w:val="0"/>
    </w:rPr>
  </w:style>
  <w:style w:type="character" w:styleId="Lappusesnumurs">
    <w:name w:val="page number"/>
    <w:basedOn w:val="Noklusjumarindkopasfonts"/>
    <w:uiPriority w:val="99"/>
    <w:semiHidden/>
    <w:unhideWhenUsed/>
    <w:rsid w:val="00155C27"/>
  </w:style>
  <w:style w:type="character" w:styleId="Izmantotahipersaite">
    <w:name w:val="FollowedHyperlink"/>
    <w:basedOn w:val="Noklusjumarindkopasfonts"/>
    <w:uiPriority w:val="99"/>
    <w:semiHidden/>
    <w:unhideWhenUsed/>
    <w:rsid w:val="007077FC"/>
    <w:rPr>
      <w:color w:val="96607D" w:themeColor="followedHyperlink"/>
      <w:u w:val="single"/>
    </w:rPr>
  </w:style>
  <w:style w:type="paragraph" w:styleId="Komentratma">
    <w:name w:val="annotation subject"/>
    <w:basedOn w:val="Komentrateksts"/>
    <w:next w:val="Komentrateksts"/>
    <w:link w:val="KomentratmaRakstz"/>
    <w:uiPriority w:val="99"/>
    <w:semiHidden/>
    <w:unhideWhenUsed/>
    <w:rsid w:val="00E7209D"/>
    <w:rPr>
      <w:b/>
      <w:bCs/>
    </w:rPr>
  </w:style>
  <w:style w:type="character" w:customStyle="1" w:styleId="KomentratmaRakstz">
    <w:name w:val="Komentāra tēma Rakstz."/>
    <w:basedOn w:val="KomentratekstsRakstz"/>
    <w:link w:val="Komentratma"/>
    <w:uiPriority w:val="99"/>
    <w:semiHidden/>
    <w:rsid w:val="00E7209D"/>
    <w:rPr>
      <w:rFonts w:ascii="Times New Roman" w:eastAsia="Times New Roman" w:hAnsi="Times New Roman" w:cs="Times New Roman"/>
      <w:b/>
      <w:bCs/>
      <w:kern w:val="0"/>
      <w:sz w:val="20"/>
      <w:szCs w:val="20"/>
    </w:rPr>
  </w:style>
  <w:style w:type="paragraph" w:styleId="Balonteksts">
    <w:name w:val="Balloon Text"/>
    <w:basedOn w:val="Parasts"/>
    <w:link w:val="BalontekstsRakstz"/>
    <w:uiPriority w:val="99"/>
    <w:semiHidden/>
    <w:unhideWhenUsed/>
    <w:rsid w:val="00E7209D"/>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E7209D"/>
    <w:rPr>
      <w:rFonts w:ascii="Segoe UI" w:eastAsia="Times New Roman" w:hAnsi="Segoe UI" w:cs="Segoe UI"/>
      <w:kern w:val="0"/>
      <w:sz w:val="18"/>
      <w:szCs w:val="18"/>
    </w:rPr>
  </w:style>
  <w:style w:type="paragraph" w:styleId="Prskatjums">
    <w:name w:val="Revision"/>
    <w:hidden/>
    <w:uiPriority w:val="99"/>
    <w:semiHidden/>
    <w:rsid w:val="00E372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epaja2027.lv"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birojs@liepaja2027.lv" TargetMode="External"/><Relationship Id="rId4" Type="http://schemas.openxmlformats.org/officeDocument/2006/relationships/settings" Target="settings.xml"/><Relationship Id="rId9" Type="http://schemas.openxmlformats.org/officeDocument/2006/relationships/hyperlink" Target="http://www.liepaja2027.lv"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iNjey86SaCFByQPFvApjB8e4OA==">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13254</Words>
  <Characters>7556</Characters>
  <Application>Microsoft Office Word</Application>
  <DocSecurity>0</DocSecurity>
  <Lines>62</Lines>
  <Paragraphs>41</Paragraphs>
  <ScaleCrop>false</ScaleCrop>
  <Company/>
  <LinksUpToDate>false</LinksUpToDate>
  <CharactersWithSpaces>20769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Agnese Medne</dc:creator>
  <cp:lastModifiedBy>Sintija Biša</cp:lastModifiedBy>
  <cp:revision>2</cp:revision>
  <dcterms:created xsi:type="dcterms:W3CDTF">2025-06-10T09:12:00Z</dcterms:created>
  <dcterms:modified xsi:type="dcterms:W3CDTF">2025-06-10T09:12:00Z</dcterms:modified>
</cp:coreProperties>
</file>